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widowControl w:val="0"/>
        <w:tabs>
          <w:tab w:val="right" w:pos="9630"/>
          <w:tab w:val="right" w:pos="13323"/>
        </w:tabs>
        <w:spacing w:after="0"/>
        <w:rPr>
          <w:rFonts w:hint="default" w:ascii="Arial" w:hAnsi="Arial" w:cs="Arial"/>
          <w:b/>
          <w:sz w:val="24"/>
          <w:szCs w:val="24"/>
          <w:lang w:val="en-US" w:eastAsia="ja-JP"/>
        </w:rPr>
      </w:pPr>
      <w:bookmarkStart w:id="0" w:name="_Hlt450039480"/>
      <w:bookmarkEnd w:id="0"/>
      <w:bookmarkStart w:id="1" w:name="_Hlt450066085"/>
      <w:bookmarkEnd w:id="1"/>
      <w:bookmarkStart w:id="2" w:name="_Hlt449016246"/>
      <w:bookmarkEnd w:id="2"/>
      <w:bookmarkStart w:id="3" w:name="_Hlt450051172"/>
      <w:bookmarkEnd w:id="3"/>
      <w:bookmarkStart w:id="4" w:name="_Hlt448930105"/>
      <w:bookmarkEnd w:id="4"/>
      <w:bookmarkStart w:id="5" w:name="_Hlt450066087"/>
      <w:bookmarkEnd w:id="5"/>
      <w:r>
        <w:rPr>
          <w:rFonts w:ascii="Arial" w:hAnsi="Arial" w:cs="Arial"/>
          <w:b/>
          <w:sz w:val="24"/>
          <w:szCs w:val="24"/>
        </w:rPr>
        <w:t>3GPP TSG-RAN WG4 Meeting #114</w:t>
      </w:r>
      <w:r>
        <w:rPr>
          <w:rFonts w:ascii="Arial" w:hAnsi="Arial" w:cs="Arial"/>
          <w:b/>
          <w:sz w:val="24"/>
          <w:szCs w:val="24"/>
        </w:rPr>
        <w:tab/>
      </w:r>
      <w:r>
        <w:rPr>
          <w:rFonts w:ascii="Arial" w:hAnsi="Arial" w:cs="Arial"/>
          <w:b/>
          <w:color w:val="000000"/>
          <w:sz w:val="24"/>
          <w:szCs w:val="24"/>
        </w:rPr>
        <w:t>R4-25</w:t>
      </w:r>
      <w:r>
        <w:rPr>
          <w:rFonts w:hint="eastAsia" w:ascii="Arial" w:hAnsi="Arial" w:eastAsia="宋体" w:cs="Arial"/>
          <w:b/>
          <w:color w:val="000000"/>
          <w:sz w:val="24"/>
          <w:szCs w:val="24"/>
          <w:lang w:val="en-US" w:eastAsia="zh-CN"/>
        </w:rPr>
        <w:t>0</w:t>
      </w:r>
      <w:r>
        <w:rPr>
          <w:rFonts w:hint="eastAsia" w:ascii="Arial" w:hAnsi="Arial" w:cs="Arial"/>
          <w:b/>
          <w:color w:val="000000"/>
          <w:sz w:val="24"/>
          <w:szCs w:val="24"/>
          <w:lang w:val="en-US" w:eastAsia="zh-CN"/>
        </w:rPr>
        <w:t>0609</w:t>
      </w:r>
    </w:p>
    <w:p>
      <w:pPr>
        <w:rPr>
          <w:rFonts w:ascii="Arial" w:hAnsi="Arial" w:cs="Arial"/>
          <w:b/>
          <w:sz w:val="24"/>
          <w:szCs w:val="24"/>
          <w:lang w:eastAsia="zh-CN"/>
        </w:rPr>
      </w:pPr>
      <w:r>
        <w:rPr>
          <w:rFonts w:ascii="Arial" w:hAnsi="Arial" w:cs="Arial"/>
          <w:b/>
          <w:sz w:val="24"/>
          <w:szCs w:val="24"/>
          <w:lang w:eastAsia="zh-CN"/>
        </w:rPr>
        <w:t>Athens, Greece, 17</w:t>
      </w:r>
      <w:r>
        <w:rPr>
          <w:rFonts w:ascii="Arial" w:hAnsi="Arial" w:cs="Arial"/>
          <w:b/>
          <w:sz w:val="24"/>
          <w:szCs w:val="24"/>
          <w:vertAlign w:val="superscript"/>
          <w:lang w:eastAsia="zh-CN"/>
        </w:rPr>
        <w:t>th</w:t>
      </w:r>
      <w:r>
        <w:rPr>
          <w:rFonts w:ascii="Arial" w:hAnsi="Arial" w:cs="Arial"/>
          <w:b/>
          <w:sz w:val="24"/>
          <w:szCs w:val="24"/>
          <w:lang w:eastAsia="zh-CN"/>
        </w:rPr>
        <w:t xml:space="preserve"> – 21</w:t>
      </w:r>
      <w:r>
        <w:rPr>
          <w:rFonts w:ascii="Arial" w:hAnsi="Arial" w:cs="Arial"/>
          <w:b/>
          <w:sz w:val="24"/>
          <w:szCs w:val="24"/>
          <w:vertAlign w:val="superscript"/>
          <w:lang w:eastAsia="zh-CN"/>
        </w:rPr>
        <w:t>st</w:t>
      </w:r>
      <w:r>
        <w:rPr>
          <w:rFonts w:ascii="Arial" w:hAnsi="Arial" w:cs="Arial"/>
          <w:b/>
          <w:sz w:val="24"/>
          <w:szCs w:val="24"/>
          <w:lang w:eastAsia="zh-CN"/>
        </w:rPr>
        <w:t xml:space="preserve"> February 2025</w:t>
      </w:r>
    </w:p>
    <w:p>
      <w:pPr>
        <w:bidi w:val="0"/>
      </w:pP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Style w:val="60"/>
          <w:rFonts w:hint="eastAsia"/>
          <w:b/>
          <w:highlight w:val="none"/>
          <w:lang w:val="en-US" w:eastAsia="zh-CN"/>
        </w:rPr>
        <w:t xml:space="preserve">Source: </w:t>
      </w:r>
      <w:r>
        <w:rPr>
          <w:rStyle w:val="60"/>
          <w:rFonts w:hint="eastAsia"/>
          <w:b/>
          <w:highlight w:val="none"/>
          <w:lang w:val="en-US" w:eastAsia="zh-CN"/>
        </w:rPr>
        <w:tab/>
      </w:r>
      <w:r>
        <w:rPr>
          <w:rStyle w:val="60"/>
          <w:rFonts w:hint="eastAsia"/>
          <w:b/>
          <w:highlight w:val="none"/>
          <w:lang w:val="en-US" w:eastAsia="zh-CN"/>
        </w:rPr>
        <w:t>ZTE Corporation, Sanechips</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Fonts w:ascii="Arial" w:hAnsi="Arial"/>
          <w:b/>
          <w:sz w:val="24"/>
          <w:highlight w:val="none"/>
          <w:lang w:val="pt-BR"/>
        </w:rPr>
        <w:t xml:space="preserve">Title: </w:t>
      </w:r>
      <w:r>
        <w:rPr>
          <w:rFonts w:ascii="Arial" w:hAnsi="Arial"/>
          <w:b/>
          <w:sz w:val="24"/>
          <w:highlight w:val="none"/>
          <w:lang w:val="pt-BR"/>
        </w:rPr>
        <w:tab/>
      </w:r>
      <w:bookmarkStart w:id="6" w:name="OLE_LINK14"/>
      <w:bookmarkStart w:id="7" w:name="OLE_LINK8"/>
      <w:r>
        <w:rPr>
          <w:rFonts w:hint="eastAsia" w:ascii="Arial" w:hAnsi="Arial"/>
          <w:b/>
          <w:sz w:val="24"/>
          <w:highlight w:val="none"/>
          <w:lang w:val="en-US" w:eastAsia="zh-CN"/>
        </w:rPr>
        <w:t>D</w:t>
      </w:r>
      <w:r>
        <w:rPr>
          <w:rStyle w:val="60"/>
          <w:rFonts w:hint="eastAsia"/>
          <w:b/>
          <w:highlight w:val="none"/>
          <w:lang w:val="pt-BR" w:eastAsia="zh-CN"/>
        </w:rPr>
        <w:t>iscussion on</w:t>
      </w:r>
      <w:bookmarkEnd w:id="6"/>
      <w:bookmarkEnd w:id="7"/>
      <w:r>
        <w:rPr>
          <w:rStyle w:val="60"/>
          <w:rFonts w:hint="eastAsia"/>
          <w:b/>
          <w:highlight w:val="none"/>
          <w:lang w:val="en-US" w:eastAsia="zh-CN"/>
        </w:rPr>
        <w:t xml:space="preserve"> UE RF requirements for NR NTN Ku band</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default"/>
          <w:b/>
          <w:highlight w:val="none"/>
          <w:lang w:val="en-US" w:eastAsia="zh-CN"/>
        </w:rPr>
      </w:pPr>
      <w:r>
        <w:rPr>
          <w:rStyle w:val="60"/>
          <w:rFonts w:hint="eastAsia"/>
          <w:b/>
          <w:highlight w:val="none"/>
          <w:lang w:val="pt-BR" w:eastAsia="zh-CN"/>
        </w:rPr>
        <w:t>Agenda item:</w:t>
      </w:r>
      <w:r>
        <w:rPr>
          <w:rStyle w:val="60"/>
          <w:rFonts w:hint="eastAsia"/>
          <w:b/>
          <w:highlight w:val="none"/>
          <w:lang w:val="pt-BR" w:eastAsia="zh-CN"/>
        </w:rPr>
        <w:tab/>
      </w:r>
      <w:r>
        <w:rPr>
          <w:rStyle w:val="60"/>
          <w:rFonts w:hint="eastAsia"/>
          <w:b/>
          <w:highlight w:val="none"/>
          <w:lang w:val="en-US" w:eastAsia="zh-CN"/>
        </w:rPr>
        <w:t>7.11.4</w:t>
      </w:r>
    </w:p>
    <w:p>
      <w:pPr>
        <w:keepNext/>
        <w:keepLines/>
        <w:pageBreakBefore w:val="0"/>
        <w:widowControl/>
        <w:tabs>
          <w:tab w:val="left" w:pos="1985"/>
        </w:tabs>
        <w:kinsoku/>
        <w:wordWrap/>
        <w:overflowPunct/>
        <w:topLinePunct w:val="0"/>
        <w:autoSpaceDE/>
        <w:autoSpaceDN/>
        <w:bidi w:val="0"/>
        <w:adjustRightInd/>
        <w:spacing w:before="120" w:after="120"/>
        <w:textAlignment w:val="auto"/>
        <w:outlineLvl w:val="0"/>
        <w:rPr>
          <w:rStyle w:val="60"/>
          <w:rFonts w:hint="eastAsia"/>
          <w:b/>
          <w:highlight w:val="none"/>
          <w:lang w:val="pt-BR" w:eastAsia="zh-CN"/>
        </w:rPr>
      </w:pPr>
      <w:r>
        <w:rPr>
          <w:rStyle w:val="60"/>
          <w:rFonts w:hint="eastAsia"/>
          <w:b/>
          <w:highlight w:val="none"/>
          <w:lang w:val="pt-BR" w:eastAsia="zh-CN"/>
        </w:rPr>
        <w:t>Document for:</w:t>
      </w:r>
      <w:r>
        <w:rPr>
          <w:rStyle w:val="60"/>
          <w:rFonts w:hint="eastAsia"/>
          <w:b/>
          <w:highlight w:val="none"/>
          <w:lang w:val="pt-BR" w:eastAsia="zh-CN"/>
        </w:rPr>
        <w:tab/>
      </w:r>
      <w:r>
        <w:rPr>
          <w:rStyle w:val="60"/>
          <w:rFonts w:hint="eastAsia"/>
          <w:b/>
          <w:highlight w:val="none"/>
          <w:lang w:val="en-US" w:eastAsia="zh-CN"/>
        </w:rPr>
        <w:t>Approval</w:t>
      </w:r>
    </w:p>
    <w:p>
      <w:pPr>
        <w:keepNext/>
        <w:keepLines/>
        <w:pageBreakBefore w:val="0"/>
        <w:widowControl/>
        <w:pBdr>
          <w:top w:val="single" w:color="auto" w:sz="12" w:space="3"/>
        </w:pBdr>
        <w:kinsoku/>
        <w:wordWrap/>
        <w:topLinePunct w:val="0"/>
        <w:bidi w:val="0"/>
        <w:spacing w:beforeLines="0" w:after="120" w:afterLines="0"/>
        <w:jc w:val="left"/>
        <w:outlineLvl w:val="0"/>
        <w:rPr>
          <w:b/>
          <w:kern w:val="0"/>
          <w:sz w:val="28"/>
          <w:szCs w:val="28"/>
          <w:highlight w:val="none"/>
        </w:rPr>
      </w:pPr>
      <w:r>
        <w:rPr>
          <w:b/>
          <w:kern w:val="0"/>
          <w:sz w:val="28"/>
          <w:szCs w:val="28"/>
          <w:highlight w:val="none"/>
        </w:rPr>
        <w:t>1 Introduction</w:t>
      </w:r>
    </w:p>
    <w:p>
      <w:pPr>
        <w:keepNext/>
        <w:keepLines/>
        <w:pageBreakBefore w:val="0"/>
        <w:widowControl/>
        <w:numPr>
          <w:ilvl w:val="-1"/>
          <w:numId w:val="0"/>
        </w:numPr>
        <w:kinsoku/>
        <w:wordWrap/>
        <w:overflowPunct w:val="0"/>
        <w:topLinePunct w:val="0"/>
        <w:autoSpaceDE w:val="0"/>
        <w:autoSpaceDN w:val="0"/>
        <w:bidi w:val="0"/>
        <w:adjustRightInd w:val="0"/>
        <w:spacing w:before="120" w:line="240" w:lineRule="auto"/>
        <w:ind w:left="0" w:firstLine="0"/>
        <w:textAlignment w:val="baseline"/>
        <w:rPr>
          <w:rFonts w:hint="default"/>
          <w:i w:val="0"/>
          <w:iCs w:val="0"/>
          <w:sz w:val="20"/>
          <w:szCs w:val="20"/>
          <w:lang w:val="en-US" w:eastAsia="zh-CN"/>
        </w:rPr>
      </w:pPr>
      <w:r>
        <w:rPr>
          <w:rFonts w:hint="eastAsia"/>
          <w:i w:val="0"/>
          <w:iCs w:val="0"/>
          <w:sz w:val="20"/>
          <w:szCs w:val="20"/>
          <w:lang w:val="en-US" w:eastAsia="zh-CN"/>
        </w:rPr>
        <w:t>In</w:t>
      </w:r>
      <w:r>
        <w:rPr>
          <w:rFonts w:hint="default"/>
          <w:i w:val="0"/>
          <w:iCs w:val="0"/>
          <w:sz w:val="20"/>
          <w:szCs w:val="20"/>
          <w:lang w:val="en-US" w:eastAsia="zh-CN"/>
        </w:rPr>
        <w:t xml:space="preserve"> RAN#</w:t>
      </w:r>
      <w:r>
        <w:rPr>
          <w:rFonts w:hint="eastAsia"/>
          <w:i w:val="0"/>
          <w:iCs w:val="0"/>
          <w:sz w:val="20"/>
          <w:szCs w:val="20"/>
          <w:lang w:val="en-US" w:eastAsia="zh-CN"/>
        </w:rPr>
        <w:t>106</w:t>
      </w:r>
      <w:r>
        <w:rPr>
          <w:rFonts w:hint="default"/>
          <w:i w:val="0"/>
          <w:iCs w:val="0"/>
          <w:sz w:val="20"/>
          <w:szCs w:val="20"/>
          <w:lang w:val="en-US" w:eastAsia="zh-CN"/>
        </w:rPr>
        <w:t xml:space="preserve"> meeting, a</w:t>
      </w:r>
      <w:r>
        <w:rPr>
          <w:rFonts w:hint="eastAsia"/>
          <w:i w:val="0"/>
          <w:iCs w:val="0"/>
          <w:sz w:val="20"/>
          <w:szCs w:val="20"/>
          <w:lang w:val="en-US" w:eastAsia="zh-CN"/>
        </w:rPr>
        <w:t xml:space="preserve"> revised</w:t>
      </w:r>
      <w:r>
        <w:rPr>
          <w:rFonts w:hint="default"/>
          <w:i w:val="0"/>
          <w:iCs w:val="0"/>
          <w:sz w:val="20"/>
          <w:szCs w:val="20"/>
          <w:lang w:val="en-US" w:eastAsia="zh-CN"/>
        </w:rPr>
        <w:t xml:space="preserve"> Work Item [1] </w:t>
      </w:r>
      <w:r>
        <w:rPr>
          <w:rFonts w:hint="eastAsia"/>
          <w:i w:val="0"/>
          <w:iCs w:val="0"/>
          <w:sz w:val="20"/>
          <w:szCs w:val="20"/>
          <w:lang w:val="en-US" w:eastAsia="zh-CN"/>
        </w:rPr>
        <w:t>was</w:t>
      </w:r>
      <w:r>
        <w:rPr>
          <w:rFonts w:hint="default"/>
          <w:i w:val="0"/>
          <w:iCs w:val="0"/>
          <w:sz w:val="20"/>
          <w:szCs w:val="20"/>
          <w:lang w:val="en-US" w:eastAsia="zh-CN"/>
        </w:rPr>
        <w:t xml:space="preserve"> approved on </w:t>
      </w:r>
      <w:r>
        <w:rPr>
          <w:rFonts w:hint="eastAsia"/>
          <w:i w:val="0"/>
          <w:iCs w:val="0"/>
          <w:sz w:val="20"/>
          <w:szCs w:val="20"/>
          <w:lang w:val="en-US" w:eastAsia="zh-CN"/>
        </w:rPr>
        <w:t>introduction of Ku Band for NR NTN</w:t>
      </w:r>
      <w:r>
        <w:rPr>
          <w:rFonts w:hint="default"/>
          <w:i w:val="0"/>
          <w:iCs w:val="0"/>
          <w:sz w:val="20"/>
          <w:szCs w:val="20"/>
          <w:lang w:val="en-US" w:eastAsia="zh-CN"/>
        </w:rPr>
        <w:t xml:space="preserve"> for NR NTN</w:t>
      </w:r>
      <w:r>
        <w:rPr>
          <w:rFonts w:hint="eastAsia"/>
          <w:i w:val="0"/>
          <w:iCs w:val="0"/>
          <w:sz w:val="20"/>
          <w:szCs w:val="20"/>
          <w:lang w:val="en-US" w:eastAsia="zh-CN"/>
        </w:rPr>
        <w:t xml:space="preserve"> with the following RAN4 objective</w:t>
      </w:r>
      <w:r>
        <w:rPr>
          <w:rFonts w:hint="default"/>
          <w:i w:val="0"/>
          <w:iCs w:val="0"/>
          <w:sz w:val="20"/>
          <w:szCs w:val="20"/>
          <w:lang w:val="en-US" w:eastAsia="zh-CN"/>
        </w:rPr>
        <w:t>. In this contribution, we want to share some</w:t>
      </w:r>
      <w:r>
        <w:rPr>
          <w:rFonts w:hint="eastAsia"/>
          <w:i w:val="0"/>
          <w:iCs w:val="0"/>
          <w:sz w:val="20"/>
          <w:szCs w:val="20"/>
          <w:lang w:val="en-US" w:eastAsia="zh-CN"/>
        </w:rPr>
        <w:t xml:space="preserve"> further</w:t>
      </w:r>
      <w:r>
        <w:rPr>
          <w:rFonts w:hint="default"/>
          <w:i w:val="0"/>
          <w:iCs w:val="0"/>
          <w:sz w:val="20"/>
          <w:szCs w:val="20"/>
          <w:lang w:val="en-US" w:eastAsia="zh-CN"/>
        </w:rPr>
        <w:t xml:space="preserve"> views </w:t>
      </w:r>
      <w:r>
        <w:rPr>
          <w:rFonts w:hint="eastAsia"/>
          <w:i w:val="0"/>
          <w:iCs w:val="0"/>
          <w:sz w:val="20"/>
          <w:szCs w:val="20"/>
          <w:lang w:val="en-US" w:eastAsia="zh-CN"/>
        </w:rPr>
        <w:t xml:space="preserve">about NR NTN Ku band </w:t>
      </w:r>
      <w:r>
        <w:rPr>
          <w:rFonts w:hint="default"/>
          <w:i w:val="0"/>
          <w:iCs w:val="0"/>
          <w:sz w:val="20"/>
          <w:szCs w:val="20"/>
          <w:lang w:val="en-US" w:eastAsia="zh-CN"/>
        </w:rPr>
        <w:t>from system parameters perspective.</w:t>
      </w:r>
    </w:p>
    <w:tbl>
      <w:tblPr>
        <w:tblStyle w:val="24"/>
        <w:tblW w:w="10160" w:type="dxa"/>
        <w:tblInd w:w="-12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60" w:type="dxa"/>
          </w:tcPr>
          <w:p>
            <w:pPr>
              <w:overflowPunct w:val="0"/>
              <w:autoSpaceDE w:val="0"/>
              <w:autoSpaceDN w:val="0"/>
              <w:adjustRightInd w:val="0"/>
              <w:spacing w:after="180"/>
              <w:textAlignment w:val="baseline"/>
              <w:rPr>
                <w:bCs/>
                <w:sz w:val="20"/>
                <w:szCs w:val="20"/>
                <w:highlight w:val="none"/>
              </w:rPr>
            </w:pPr>
            <w:r>
              <w:rPr>
                <w:iCs/>
                <w:sz w:val="20"/>
                <w:szCs w:val="20"/>
                <w:highlight w:val="none"/>
              </w:rPr>
              <w:t>The objectives are:</w:t>
            </w:r>
          </w:p>
          <w:p>
            <w:pPr>
              <w:numPr>
                <w:ilvl w:val="0"/>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Use the regulation requirements in ITU Regions 1, 2 and 3 to identify relevant adjacent band co-existence scenarios for NTN Ku Band covering the following frequency ranges, considering targeted deployment scenarios:</w:t>
            </w:r>
          </w:p>
          <w:p>
            <w:pPr>
              <w:numPr>
                <w:ilvl w:val="1"/>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For ITU regions 1 and 3:</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Downlink 10.70 – 12.75 GHz</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Uplink 13.75-14.5 GHz</w:t>
            </w:r>
          </w:p>
          <w:p>
            <w:pPr>
              <w:numPr>
                <w:ilvl w:val="1"/>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For ITU regions 2</w:t>
            </w:r>
            <w:r>
              <w:rPr>
                <w:sz w:val="20"/>
                <w:szCs w:val="20"/>
                <w:highlight w:val="none"/>
              </w:rPr>
              <w:t xml:space="preserve"> (The US is in scope for the WI using the current allocation of the Ku band. The band introduction in specification is pending FCC decision)</w:t>
            </w:r>
            <w:r>
              <w:rPr>
                <w:bCs/>
                <w:sz w:val="20"/>
                <w:szCs w:val="20"/>
                <w:highlight w:val="none"/>
              </w:rPr>
              <w:t>:</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Downlink 10.70 – 12.70 GHz</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Uplink 13.75-14.5 GHz</w:t>
            </w:r>
          </w:p>
          <w:p>
            <w:pPr>
              <w:numPr>
                <w:ilvl w:val="1"/>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For ITU regions 1 and 3</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Downlink 10.70 – 12.75 GHz</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Uplink 12.75 - 13.25 GHz</w:t>
            </w:r>
          </w:p>
          <w:p>
            <w:pPr>
              <w:numPr>
                <w:ilvl w:val="1"/>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 xml:space="preserve">For ITU regions 2 </w:t>
            </w:r>
            <w:r>
              <w:rPr>
                <w:sz w:val="20"/>
                <w:szCs w:val="20"/>
                <w:highlight w:val="none"/>
              </w:rPr>
              <w:t>(The US is in scope for the WI using the current allocation of the Ku band. The band introduction in specification is pending FCC decision):</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Downlink 10.70 – 12.70 GHz</w:t>
            </w:r>
          </w:p>
          <w:p>
            <w:pPr>
              <w:numPr>
                <w:ilvl w:val="2"/>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Uplink 12.70 - 13.25 GHz</w:t>
            </w:r>
          </w:p>
          <w:p>
            <w:pPr>
              <w:numPr>
                <w:ilvl w:val="1"/>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Note: Appropriate Tx/Rx separation for uplink downlink pairing will be required.</w:t>
            </w:r>
          </w:p>
          <w:p>
            <w:pPr>
              <w:numPr>
                <w:ilvl w:val="0"/>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Conduct coexistence study. Reuse Ka band coexistence study assumptions as much as possible, with modifications where necessary, e.g. for coexistence scenario, frequency range and subcarrier spacing. Conduct new co-existence studies based on adjacent services.</w:t>
            </w:r>
          </w:p>
          <w:p>
            <w:pPr>
              <w:numPr>
                <w:ilvl w:val="0"/>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Specify RF requirements for mobile VSAT served by NGSO and GSO based on existing mobile VSAT type 5 RF requirements</w:t>
            </w:r>
          </w:p>
          <w:p>
            <w:pPr>
              <w:numPr>
                <w:ilvl w:val="0"/>
                <w:numId w:val="8"/>
              </w:numPr>
              <w:overflowPunct w:val="0"/>
              <w:autoSpaceDE w:val="0"/>
              <w:autoSpaceDN w:val="0"/>
              <w:adjustRightInd w:val="0"/>
              <w:spacing w:after="0"/>
              <w:jc w:val="both"/>
              <w:textAlignment w:val="baseline"/>
              <w:rPr>
                <w:bCs/>
                <w:sz w:val="20"/>
                <w:szCs w:val="20"/>
                <w:highlight w:val="none"/>
              </w:rPr>
            </w:pPr>
            <w:r>
              <w:rPr>
                <w:sz w:val="20"/>
                <w:szCs w:val="20"/>
                <w:highlight w:val="none"/>
              </w:rPr>
              <w:t>Investigate and if possible specify common FR1 and FR2 radiated RF requirements for Satellite Access Node (SAN) and NTN VSAT types (excluding types 1 to 3) in 38.101-5 also considering existing regulations on antenna sizes for certain parts of the Ku band.</w:t>
            </w:r>
          </w:p>
          <w:p>
            <w:pPr>
              <w:pStyle w:val="34"/>
              <w:numPr>
                <w:ilvl w:val="0"/>
                <w:numId w:val="9"/>
              </w:numPr>
              <w:overflowPunct/>
              <w:autoSpaceDE/>
              <w:autoSpaceDN/>
              <w:adjustRightInd/>
              <w:spacing w:before="0" w:beforeAutospacing="0" w:after="160" w:afterAutospacing="0" w:line="259" w:lineRule="auto"/>
              <w:contextualSpacing/>
              <w:jc w:val="both"/>
              <w:textAlignment w:val="auto"/>
              <w:rPr>
                <w:sz w:val="20"/>
                <w:szCs w:val="20"/>
                <w:highlight w:val="none"/>
              </w:rPr>
            </w:pPr>
            <w:r>
              <w:rPr>
                <w:sz w:val="20"/>
                <w:szCs w:val="20"/>
                <w:highlight w:val="none"/>
              </w:rPr>
              <w:t>Priority 1: for all ITU regions, define Ku band #1a and #1b for the downlink block and uplink block B. D</w:t>
            </w:r>
            <w:r>
              <w:rPr>
                <w:rFonts w:hint="eastAsia"/>
                <w:sz w:val="20"/>
                <w:szCs w:val="20"/>
                <w:highlight w:val="none"/>
                <w:lang w:eastAsia="zh-TW"/>
              </w:rPr>
              <w:t>efine two sets of bands, one for FR1 numerology and the other for FR2 numerology, including the support of the following:</w:t>
            </w:r>
          </w:p>
          <w:p>
            <w:pPr>
              <w:pStyle w:val="34"/>
              <w:numPr>
                <w:ilvl w:val="1"/>
                <w:numId w:val="9"/>
              </w:numPr>
              <w:overflowPunct/>
              <w:autoSpaceDE/>
              <w:autoSpaceDN/>
              <w:adjustRightInd/>
              <w:spacing w:before="0" w:beforeAutospacing="0" w:after="160" w:afterAutospacing="0" w:line="259" w:lineRule="auto"/>
              <w:contextualSpacing/>
              <w:jc w:val="both"/>
              <w:textAlignment w:val="auto"/>
              <w:rPr>
                <w:sz w:val="20"/>
                <w:szCs w:val="20"/>
                <w:highlight w:val="none"/>
              </w:rPr>
            </w:pPr>
            <w:r>
              <w:rPr>
                <w:sz w:val="20"/>
                <w:szCs w:val="20"/>
                <w:highlight w:val="none"/>
              </w:rPr>
              <w:t>Ku band #1a and #1b as FR1-NTN supporting</w:t>
            </w:r>
            <w:r>
              <w:rPr>
                <w:rFonts w:hint="eastAsia"/>
                <w:sz w:val="20"/>
                <w:szCs w:val="20"/>
                <w:highlight w:val="none"/>
                <w:lang w:eastAsia="zh-TW"/>
              </w:rPr>
              <w:t xml:space="preserve"> </w:t>
            </w:r>
            <w:r>
              <w:rPr>
                <w:sz w:val="20"/>
                <w:szCs w:val="20"/>
                <w:highlight w:val="none"/>
              </w:rPr>
              <w:t>10 MHz</w:t>
            </w:r>
            <w:r>
              <w:rPr>
                <w:rFonts w:hint="eastAsia"/>
                <w:sz w:val="20"/>
                <w:szCs w:val="20"/>
                <w:highlight w:val="none"/>
                <w:lang w:eastAsia="zh-TW"/>
              </w:rPr>
              <w:t>,</w:t>
            </w:r>
            <w:r>
              <w:rPr>
                <w:sz w:val="20"/>
                <w:szCs w:val="20"/>
                <w:highlight w:val="none"/>
              </w:rPr>
              <w:t xml:space="preserve"> 20 MHz, 25 MHz, 35 MHz, 50 MHz, 70 MHz and 100 MHz channel bandwidths with 30 kHz subcarrier spacing</w:t>
            </w:r>
          </w:p>
          <w:p>
            <w:pPr>
              <w:pStyle w:val="34"/>
              <w:numPr>
                <w:ilvl w:val="1"/>
                <w:numId w:val="9"/>
              </w:numPr>
              <w:overflowPunct/>
              <w:autoSpaceDE/>
              <w:autoSpaceDN/>
              <w:adjustRightInd/>
              <w:spacing w:before="0" w:beforeAutospacing="0" w:after="160" w:afterAutospacing="0" w:line="259" w:lineRule="auto"/>
              <w:contextualSpacing/>
              <w:jc w:val="both"/>
              <w:textAlignment w:val="auto"/>
              <w:rPr>
                <w:sz w:val="20"/>
                <w:szCs w:val="20"/>
                <w:highlight w:val="none"/>
              </w:rPr>
            </w:pPr>
            <w:r>
              <w:rPr>
                <w:sz w:val="20"/>
                <w:szCs w:val="20"/>
                <w:highlight w:val="none"/>
              </w:rPr>
              <w:t>Ku band #1a and #1b as FR2-NTN supporting 50 MHz, 100 MHz, 200 MHz, 400 MHz (120kHz SCS only) channel bandwidths with 120 kHz subcarrier spacing</w:t>
            </w:r>
            <w:r>
              <w:rPr>
                <w:sz w:val="20"/>
                <w:szCs w:val="20"/>
                <w:highlight w:val="none"/>
                <w:lang w:eastAsia="zh-TW"/>
              </w:rPr>
              <w:t>.</w:t>
            </w:r>
          </w:p>
          <w:p>
            <w:pPr>
              <w:pStyle w:val="34"/>
              <w:numPr>
                <w:ilvl w:val="0"/>
                <w:numId w:val="9"/>
              </w:numPr>
              <w:overflowPunct/>
              <w:autoSpaceDE/>
              <w:autoSpaceDN/>
              <w:adjustRightInd/>
              <w:spacing w:before="0" w:beforeAutospacing="0" w:after="160" w:afterAutospacing="0" w:line="259" w:lineRule="auto"/>
              <w:contextualSpacing/>
              <w:jc w:val="both"/>
              <w:textAlignment w:val="auto"/>
              <w:rPr>
                <w:sz w:val="20"/>
                <w:szCs w:val="20"/>
                <w:highlight w:val="none"/>
              </w:rPr>
            </w:pPr>
            <w:r>
              <w:rPr>
                <w:sz w:val="20"/>
                <w:szCs w:val="20"/>
                <w:highlight w:val="none"/>
              </w:rPr>
              <w:t>Priority 2: for all ITU regions excluding the US in region 2, using the approach in Priority 1, define Ku band #2a and #2b as appropriate for the downlink block and uplink block A.</w:t>
            </w:r>
          </w:p>
          <w:p>
            <w:pPr>
              <w:pStyle w:val="34"/>
              <w:numPr>
                <w:ilvl w:val="0"/>
                <w:numId w:val="9"/>
              </w:numPr>
              <w:overflowPunct/>
              <w:autoSpaceDE/>
              <w:autoSpaceDN/>
              <w:adjustRightInd/>
              <w:spacing w:before="0" w:beforeAutospacing="0" w:after="0" w:afterAutospacing="0" w:line="259" w:lineRule="auto"/>
              <w:contextualSpacing/>
              <w:jc w:val="both"/>
              <w:textAlignment w:val="auto"/>
              <w:rPr>
                <w:sz w:val="20"/>
                <w:szCs w:val="20"/>
                <w:highlight w:val="none"/>
              </w:rPr>
            </w:pPr>
            <w:r>
              <w:rPr>
                <w:sz w:val="20"/>
                <w:szCs w:val="20"/>
                <w:highlight w:val="none"/>
              </w:rPr>
              <w:t>Specify RRM requirements including timing requirements for mobile VSAT served by NGSO</w:t>
            </w:r>
          </w:p>
          <w:p>
            <w:pPr>
              <w:pStyle w:val="34"/>
              <w:numPr>
                <w:ilvl w:val="1"/>
                <w:numId w:val="9"/>
              </w:numPr>
              <w:overflowPunct/>
              <w:autoSpaceDE/>
              <w:autoSpaceDN/>
              <w:adjustRightInd/>
              <w:spacing w:before="0" w:beforeAutospacing="0" w:after="0" w:afterAutospacing="0" w:line="259" w:lineRule="auto"/>
              <w:contextualSpacing/>
              <w:jc w:val="both"/>
              <w:textAlignment w:val="auto"/>
              <w:rPr>
                <w:sz w:val="20"/>
                <w:szCs w:val="20"/>
                <w:highlight w:val="none"/>
              </w:rPr>
            </w:pPr>
            <w:r>
              <w:rPr>
                <w:sz w:val="20"/>
                <w:szCs w:val="20"/>
                <w:highlight w:val="none"/>
              </w:rPr>
              <w:t>NOTE:</w:t>
            </w:r>
            <w:r>
              <w:rPr>
                <w:sz w:val="20"/>
                <w:szCs w:val="20"/>
                <w:highlight w:val="none"/>
              </w:rPr>
              <w:tab/>
            </w:r>
            <w:r>
              <w:rPr>
                <w:sz w:val="20"/>
                <w:szCs w:val="20"/>
                <w:highlight w:val="none"/>
              </w:rPr>
              <w:t>RRM requirements are defined for VSAT supporting FR1-NTN operation only, or for FR2-NTN operation only.</w:t>
            </w:r>
          </w:p>
          <w:p>
            <w:pPr>
              <w:pStyle w:val="34"/>
              <w:numPr>
                <w:ilvl w:val="0"/>
                <w:numId w:val="9"/>
              </w:numPr>
              <w:overflowPunct/>
              <w:autoSpaceDE/>
              <w:autoSpaceDN/>
              <w:adjustRightInd/>
              <w:spacing w:before="0" w:beforeAutospacing="0" w:after="0" w:afterAutospacing="0" w:line="259" w:lineRule="auto"/>
              <w:contextualSpacing/>
              <w:jc w:val="both"/>
              <w:textAlignment w:val="auto"/>
              <w:rPr>
                <w:sz w:val="20"/>
                <w:szCs w:val="20"/>
                <w:highlight w:val="none"/>
              </w:rPr>
            </w:pPr>
            <w:r>
              <w:rPr>
                <w:sz w:val="20"/>
                <w:szCs w:val="20"/>
                <w:highlight w:val="none"/>
              </w:rPr>
              <w:t>RAN#107 checkpoint: Depending on the feedback from RAN1 and RAN2 on the LS in R4-2419902, further WID updates may be needed to address feedback on specifying bands for both FR1-NTN numerology and FR2-NTN numerology or for other issues such as support for a single SCS per frequency band.</w:t>
            </w:r>
          </w:p>
          <w:p>
            <w:pPr>
              <w:pStyle w:val="34"/>
              <w:overflowPunct/>
              <w:autoSpaceDE/>
              <w:autoSpaceDN/>
              <w:adjustRightInd/>
              <w:spacing w:before="0" w:beforeAutospacing="0" w:after="160" w:afterAutospacing="0" w:line="259" w:lineRule="auto"/>
              <w:ind w:left="360"/>
              <w:contextualSpacing/>
              <w:jc w:val="both"/>
              <w:textAlignment w:val="auto"/>
              <w:rPr>
                <w:rFonts w:hint="default" w:eastAsia="宋体"/>
                <w:i w:val="0"/>
                <w:iCs w:val="0"/>
                <w:sz w:val="20"/>
                <w:szCs w:val="20"/>
                <w:highlight w:val="none"/>
                <w:vertAlign w:val="baseline"/>
                <w:lang w:val="en-US" w:eastAsia="zh-CN"/>
              </w:rPr>
            </w:pPr>
          </w:p>
        </w:tc>
      </w:tr>
    </w:tbl>
    <w:p>
      <w:pPr>
        <w:keepNext/>
        <w:keepLines/>
        <w:pageBreakBefore w:val="0"/>
        <w:widowControl/>
        <w:numPr>
          <w:ilvl w:val="-1"/>
          <w:numId w:val="0"/>
        </w:numPr>
        <w:kinsoku/>
        <w:wordWrap/>
        <w:overflowPunct w:val="0"/>
        <w:topLinePunct w:val="0"/>
        <w:autoSpaceDE w:val="0"/>
        <w:autoSpaceDN w:val="0"/>
        <w:bidi w:val="0"/>
        <w:adjustRightInd w:val="0"/>
        <w:spacing w:before="120" w:line="240" w:lineRule="auto"/>
        <w:ind w:left="0" w:firstLine="0"/>
        <w:textAlignment w:val="baseline"/>
        <w:rPr>
          <w:rFonts w:hint="default"/>
          <w:i w:val="0"/>
          <w:iCs w:val="0"/>
          <w:sz w:val="20"/>
          <w:szCs w:val="20"/>
          <w:lang w:val="en-US" w:eastAsia="zh-CN"/>
        </w:rPr>
      </w:pP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rFonts w:hint="eastAsia"/>
          <w:b/>
          <w:bCs/>
          <w:sz w:val="20"/>
          <w:szCs w:val="18"/>
          <w:lang w:val="en-US" w:eastAsia="zh-CN"/>
        </w:rPr>
      </w:pPr>
      <w:r>
        <w:rPr>
          <w:b/>
          <w:kern w:val="0"/>
          <w:sz w:val="28"/>
          <w:szCs w:val="28"/>
          <w:highlight w:val="none"/>
        </w:rPr>
        <w:t>2</w:t>
      </w:r>
      <w:r>
        <w:rPr>
          <w:rFonts w:hint="eastAsia"/>
          <w:b/>
          <w:kern w:val="0"/>
          <w:sz w:val="28"/>
          <w:szCs w:val="28"/>
          <w:highlight w:val="none"/>
          <w:lang w:val="en-US" w:eastAsia="zh-CN"/>
        </w:rPr>
        <w:t xml:space="preserve"> </w:t>
      </w:r>
      <w:r>
        <w:rPr>
          <w:b/>
          <w:kern w:val="0"/>
          <w:sz w:val="28"/>
          <w:szCs w:val="28"/>
          <w:highlight w:val="none"/>
        </w:rPr>
        <w:t>Discussion</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sz w:val="24"/>
          <w:szCs w:val="18"/>
          <w:lang w:val="en-US" w:eastAsia="zh-CN"/>
        </w:rPr>
      </w:pPr>
      <w:r>
        <w:rPr>
          <w:rFonts w:hint="eastAsia"/>
          <w:sz w:val="24"/>
          <w:szCs w:val="18"/>
          <w:lang w:val="en-US" w:eastAsia="zh-CN"/>
        </w:rPr>
        <w:t>2.1 NTN VSAT types</w:t>
      </w:r>
    </w:p>
    <w:p>
      <w:pPr>
        <w:rPr>
          <w:rFonts w:hint="default"/>
          <w:sz w:val="20"/>
          <w:szCs w:val="20"/>
          <w:lang w:val="en-US" w:eastAsia="zh-CN"/>
        </w:rPr>
      </w:pPr>
      <w:r>
        <w:rPr>
          <w:rFonts w:hint="eastAsia"/>
          <w:sz w:val="20"/>
          <w:szCs w:val="20"/>
          <w:lang w:val="en-US" w:eastAsia="zh-CN"/>
        </w:rPr>
        <w:t xml:space="preserve">According to the objective of the revised WID, it states that </w:t>
      </w:r>
    </w:p>
    <w:p>
      <w:pPr>
        <w:numPr>
          <w:ilvl w:val="0"/>
          <w:numId w:val="8"/>
        </w:numPr>
        <w:overflowPunct w:val="0"/>
        <w:autoSpaceDE w:val="0"/>
        <w:autoSpaceDN w:val="0"/>
        <w:adjustRightInd w:val="0"/>
        <w:spacing w:after="0"/>
        <w:jc w:val="both"/>
        <w:textAlignment w:val="baseline"/>
        <w:rPr>
          <w:bCs/>
          <w:sz w:val="20"/>
          <w:szCs w:val="20"/>
          <w:highlight w:val="none"/>
        </w:rPr>
      </w:pPr>
      <w:r>
        <w:rPr>
          <w:bCs/>
          <w:sz w:val="20"/>
          <w:szCs w:val="20"/>
          <w:highlight w:val="none"/>
        </w:rPr>
        <w:t>Specify RF requirements for mobile VSAT served by NGSO and GSO based on existing mobile VSAT type 5 RF requirements</w:t>
      </w:r>
    </w:p>
    <w:p>
      <w:pPr>
        <w:numPr>
          <w:ilvl w:val="0"/>
          <w:numId w:val="8"/>
        </w:numPr>
        <w:overflowPunct w:val="0"/>
        <w:autoSpaceDE w:val="0"/>
        <w:autoSpaceDN w:val="0"/>
        <w:adjustRightInd w:val="0"/>
        <w:spacing w:after="0"/>
        <w:jc w:val="both"/>
        <w:textAlignment w:val="baseline"/>
        <w:rPr>
          <w:rFonts w:hint="eastAsia"/>
          <w:sz w:val="20"/>
          <w:szCs w:val="20"/>
          <w:lang w:val="en-US" w:eastAsia="zh-CN"/>
        </w:rPr>
      </w:pPr>
      <w:r>
        <w:rPr>
          <w:sz w:val="20"/>
          <w:szCs w:val="20"/>
          <w:highlight w:val="none"/>
        </w:rPr>
        <w:t>Investigate and if possible specify common FR1 and FR2 radiated RF requirements for Satellite Access Node (SAN) and NTN VSAT types (excluding types 1 to 3) in 38.101-5 also considering existing regulations on antenna sizes for certain parts of the Ku band.</w:t>
      </w:r>
    </w:p>
    <w:p>
      <w:pPr>
        <w:numPr>
          <w:ilvl w:val="0"/>
          <w:numId w:val="0"/>
        </w:numPr>
        <w:overflowPunct w:val="0"/>
        <w:autoSpaceDE w:val="0"/>
        <w:autoSpaceDN w:val="0"/>
        <w:adjustRightInd w:val="0"/>
        <w:spacing w:after="0"/>
        <w:jc w:val="both"/>
        <w:textAlignment w:val="baseline"/>
        <w:rPr>
          <w:rFonts w:hint="eastAsia"/>
          <w:sz w:val="20"/>
          <w:szCs w:val="20"/>
          <w:highlight w:val="none"/>
          <w:lang w:val="en-US" w:eastAsia="zh-CN"/>
        </w:rPr>
      </w:pPr>
      <w:r>
        <w:rPr>
          <w:rFonts w:hint="eastAsia"/>
          <w:sz w:val="20"/>
          <w:szCs w:val="20"/>
          <w:highlight w:val="none"/>
          <w:lang w:val="en-US" w:eastAsia="zh-CN"/>
        </w:rPr>
        <w:t>In current specification 38.101-5, NTN VSAT types only define Fixed VSAT with NGSO and GSO, Mobile VSAT with GSO. There is no NTN VSAT type defined for Mobile VSAT with NGSO. So we need to clarify whether to introduce a new NTN VSAT type for Mobile VSAT with NGSO.</w:t>
      </w:r>
    </w:p>
    <w:p>
      <w:pPr>
        <w:numPr>
          <w:ilvl w:val="0"/>
          <w:numId w:val="0"/>
        </w:numPr>
        <w:overflowPunct w:val="0"/>
        <w:autoSpaceDE w:val="0"/>
        <w:autoSpaceDN w:val="0"/>
        <w:adjustRightInd w:val="0"/>
        <w:spacing w:after="0"/>
        <w:jc w:val="both"/>
        <w:textAlignment w:val="baseline"/>
        <w:rPr>
          <w:rFonts w:hint="eastAsia"/>
          <w:b/>
          <w:bCs/>
          <w:sz w:val="20"/>
          <w:szCs w:val="20"/>
          <w:lang w:val="en-US" w:eastAsia="zh-CN"/>
        </w:rPr>
      </w:pPr>
      <w:r>
        <w:rPr>
          <w:rFonts w:hint="eastAsia"/>
          <w:b/>
          <w:bCs/>
          <w:sz w:val="20"/>
          <w:szCs w:val="20"/>
          <w:lang w:val="en-US" w:eastAsia="zh-CN"/>
        </w:rPr>
        <w:t>Proposal 1: Need to clarify whether to introduce a new NTN VSAT type for Mobile VSAT with NGSO.</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sz w:val="24"/>
          <w:szCs w:val="18"/>
          <w:lang w:val="en-US" w:eastAsia="zh-CN"/>
        </w:rPr>
      </w:pPr>
      <w:r>
        <w:rPr>
          <w:rFonts w:hint="eastAsia"/>
          <w:sz w:val="24"/>
          <w:szCs w:val="18"/>
          <w:lang w:val="en-US" w:eastAsia="zh-CN"/>
        </w:rPr>
        <w:t>2.2 Maximum EIRP requirement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1-2-</w:t>
            </w:r>
            <w:r>
              <w:rPr>
                <w:rFonts w:hint="eastAsia"/>
                <w:sz w:val="20"/>
                <w:szCs w:val="20"/>
                <w:lang w:val="en-US" w:eastAsia="zh-TW"/>
              </w:rPr>
              <w:t>2</w:t>
            </w:r>
            <w:r>
              <w:rPr>
                <w:sz w:val="20"/>
                <w:szCs w:val="20"/>
                <w:lang w:val="en-US"/>
              </w:rPr>
              <w:t>:</w:t>
            </w:r>
            <w:r>
              <w:rPr>
                <w:rFonts w:hint="eastAsia" w:eastAsia="PMingLiU"/>
                <w:sz w:val="20"/>
                <w:szCs w:val="20"/>
                <w:lang w:val="en-US" w:eastAsia="zh-TW"/>
              </w:rPr>
              <w:t xml:space="preserve"> M</w:t>
            </w:r>
            <w:r>
              <w:rPr>
                <w:sz w:val="20"/>
                <w:szCs w:val="20"/>
                <w:lang w:val="en-US"/>
              </w:rPr>
              <w:t>aximum EIRP</w:t>
            </w:r>
            <w:r>
              <w:rPr>
                <w:rFonts w:hint="eastAsia"/>
                <w:sz w:val="20"/>
                <w:szCs w:val="20"/>
                <w:lang w:val="en-US" w:eastAsia="zh-TW"/>
              </w:rPr>
              <w:t xml:space="preserve"> and TRP requirement</w:t>
            </w:r>
          </w:p>
          <w:p>
            <w:pPr>
              <w:pStyle w:val="34"/>
              <w:keepNext/>
              <w:numPr>
                <w:ilvl w:val="0"/>
                <w:numId w:val="10"/>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The following aspects will be consider </w:t>
            </w:r>
            <w:r>
              <w:rPr>
                <w:rFonts w:hint="eastAsia" w:eastAsia="Yu Mincho"/>
                <w:sz w:val="20"/>
                <w:szCs w:val="20"/>
                <w:lang w:eastAsia="ja-JP"/>
              </w:rPr>
              <w:t>if</w:t>
            </w:r>
            <w:r>
              <w:rPr>
                <w:rFonts w:hint="eastAsia" w:eastAsia="PMingLiU"/>
                <w:sz w:val="20"/>
                <w:szCs w:val="20"/>
                <w:lang w:eastAsia="zh-TW"/>
              </w:rPr>
              <w:t xml:space="preserve"> setting the maximum EIRP &amp; TRP of the NTN Ku band in 38.101-5</w:t>
            </w:r>
          </w:p>
          <w:p>
            <w:pPr>
              <w:pStyle w:val="34"/>
              <w:keepNext/>
              <w:numPr>
                <w:ilvl w:val="1"/>
                <w:numId w:val="10"/>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An absolute maximum upper limit on </w:t>
            </w:r>
            <w:r>
              <w:rPr>
                <w:rFonts w:eastAsia="PMingLiU"/>
                <w:sz w:val="20"/>
                <w:szCs w:val="20"/>
                <w:lang w:eastAsia="zh-TW"/>
              </w:rPr>
              <w:t xml:space="preserve">88.2 dBm EIRP </w:t>
            </w:r>
            <w:r>
              <w:rPr>
                <w:rFonts w:hint="eastAsia" w:eastAsia="PMingLiU"/>
                <w:sz w:val="20"/>
                <w:szCs w:val="20"/>
                <w:lang w:eastAsia="zh-TW"/>
              </w:rPr>
              <w:t>fulfilling</w:t>
            </w:r>
            <w:r>
              <w:rPr>
                <w:rFonts w:eastAsia="PMingLiU"/>
                <w:sz w:val="20"/>
                <w:szCs w:val="20"/>
                <w:lang w:eastAsia="zh-TW"/>
              </w:rPr>
              <w:t xml:space="preserve"> GSO</w:t>
            </w:r>
            <w:r>
              <w:rPr>
                <w:rFonts w:hint="eastAsia" w:eastAsia="PMingLiU"/>
                <w:sz w:val="20"/>
                <w:szCs w:val="20"/>
                <w:lang w:eastAsia="zh-TW"/>
              </w:rPr>
              <w:t xml:space="preserve"> scenarios, while allowing separating consideration for non-GSO scenarios</w:t>
            </w:r>
          </w:p>
          <w:p>
            <w:pPr>
              <w:pStyle w:val="34"/>
              <w:keepNext/>
              <w:numPr>
                <w:ilvl w:val="1"/>
                <w:numId w:val="10"/>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Upper EIRP limits in the regulation</w:t>
            </w:r>
          </w:p>
          <w:p>
            <w:pPr>
              <w:pStyle w:val="34"/>
              <w:keepNext/>
              <w:numPr>
                <w:ilvl w:val="1"/>
                <w:numId w:val="10"/>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Enable flexibility for different application and scenarios</w:t>
            </w:r>
          </w:p>
          <w:p>
            <w:pPr>
              <w:keepNext/>
              <w:overflowPunct w:val="0"/>
              <w:autoSpaceDE w:val="0"/>
              <w:autoSpaceDN w:val="0"/>
              <w:adjustRightInd w:val="0"/>
              <w:spacing w:after="120" w:line="259" w:lineRule="auto"/>
              <w:textAlignment w:val="baseline"/>
              <w:rPr>
                <w:rFonts w:eastAsia="PMingLiU"/>
                <w:sz w:val="20"/>
                <w:szCs w:val="20"/>
                <w:lang w:eastAsia="zh-TW"/>
              </w:rPr>
            </w:pPr>
          </w:p>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1-2-</w:t>
            </w:r>
            <w:r>
              <w:rPr>
                <w:rFonts w:hint="eastAsia" w:eastAsia="PMingLiU"/>
                <w:sz w:val="20"/>
                <w:szCs w:val="20"/>
                <w:lang w:val="en-US" w:eastAsia="zh-TW"/>
              </w:rPr>
              <w:t>3</w:t>
            </w:r>
            <w:r>
              <w:rPr>
                <w:sz w:val="20"/>
                <w:szCs w:val="20"/>
                <w:lang w:val="en-US"/>
              </w:rPr>
              <w:t>:</w:t>
            </w:r>
            <w:r>
              <w:rPr>
                <w:rFonts w:hint="eastAsia" w:eastAsia="PMingLiU"/>
                <w:sz w:val="20"/>
                <w:szCs w:val="20"/>
                <w:lang w:val="en-US" w:eastAsia="zh-TW"/>
              </w:rPr>
              <w:t xml:space="preserve"> Maximum EIRP requirements and the minimum antenna size for the CEPT Ku band</w:t>
            </w:r>
          </w:p>
          <w:p>
            <w:pPr>
              <w:pStyle w:val="34"/>
              <w:keepNext/>
              <w:numPr>
                <w:ilvl w:val="0"/>
                <w:numId w:val="10"/>
              </w:numPr>
              <w:overflowPunct/>
              <w:autoSpaceDE/>
              <w:autoSpaceDN/>
              <w:adjustRightInd/>
              <w:spacing w:after="120" w:line="259" w:lineRule="auto"/>
              <w:ind w:firstLineChars="0"/>
              <w:textAlignment w:val="auto"/>
              <w:rPr>
                <w:rFonts w:eastAsia="PMingLiU"/>
                <w:sz w:val="20"/>
                <w:szCs w:val="20"/>
                <w:lang w:eastAsia="zh-TW"/>
              </w:rPr>
            </w:pPr>
            <w:r>
              <w:rPr>
                <w:rFonts w:hint="eastAsia" w:eastAsia="PMingLiU"/>
                <w:sz w:val="20"/>
                <w:szCs w:val="20"/>
                <w:lang w:eastAsia="zh-TW"/>
              </w:rPr>
              <w:t xml:space="preserve">For </w:t>
            </w:r>
            <w:r>
              <w:rPr>
                <w:rFonts w:eastAsia="PMingLiU"/>
                <w:sz w:val="20"/>
                <w:szCs w:val="20"/>
                <w:lang w:eastAsia="zh-TW"/>
              </w:rPr>
              <w:t xml:space="preserve">the </w:t>
            </w:r>
            <w:r>
              <w:rPr>
                <w:rFonts w:hint="eastAsia"/>
                <w:sz w:val="20"/>
                <w:szCs w:val="20"/>
                <w:lang w:val="en-US" w:eastAsia="zh-TW"/>
              </w:rPr>
              <w:t>CEPT Ku band</w:t>
            </w:r>
            <w:r>
              <w:rPr>
                <w:rFonts w:hint="eastAsia" w:eastAsia="PMingLiU"/>
                <w:sz w:val="20"/>
                <w:szCs w:val="20"/>
                <w:lang w:val="en-US" w:eastAsia="zh-TW"/>
              </w:rPr>
              <w:t>, the following requirements from ECC regulation will be considered, FFS on how to reflect to the specifications and the VSAT types.</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eastAsiaTheme="minorEastAsia"/>
                <w:sz w:val="20"/>
                <w:szCs w:val="20"/>
                <w:lang w:val="en-US" w:eastAsia="zh-TW"/>
              </w:rPr>
              <w:t>NTN VSAT operating with GSO</w:t>
            </w:r>
            <w:r>
              <w:rPr>
                <w:rFonts w:eastAsiaTheme="minorEastAsia"/>
                <w:sz w:val="20"/>
                <w:szCs w:val="20"/>
                <w:lang w:val="en-US" w:eastAsia="zh-TW"/>
              </w:rPr>
              <w:tab/>
            </w:r>
            <w:r>
              <w:rPr>
                <w:rFonts w:eastAsiaTheme="minorEastAsia"/>
                <w:sz w:val="20"/>
                <w:szCs w:val="20"/>
                <w:lang w:val="en-US" w:eastAsia="zh-TW"/>
              </w:rPr>
              <w:t>14.0 – 14.25 GHz</w:t>
            </w:r>
            <w:r>
              <w:rPr>
                <w:rFonts w:eastAsiaTheme="minorEastAsia"/>
                <w:sz w:val="20"/>
                <w:szCs w:val="20"/>
                <w:lang w:val="en-US" w:eastAsia="zh-TW"/>
              </w:rPr>
              <w:tab/>
            </w:r>
            <w:r>
              <w:rPr>
                <w:rFonts w:eastAsiaTheme="minorEastAsia"/>
                <w:sz w:val="20"/>
                <w:szCs w:val="20"/>
                <w:lang w:val="en-US" w:eastAsia="zh-TW"/>
              </w:rPr>
              <w:t>Max EIRP: 60 dBW</w:t>
            </w:r>
            <w:r>
              <w:rPr>
                <w:rFonts w:hint="eastAsia" w:eastAsiaTheme="minorEastAsia"/>
                <w:sz w:val="20"/>
                <w:szCs w:val="20"/>
                <w:lang w:val="en-US" w:eastAsia="zh-TW"/>
              </w:rPr>
              <w:t xml:space="preserve"> (from </w:t>
            </w:r>
            <w:r>
              <w:rPr>
                <w:rFonts w:eastAsiaTheme="minorEastAsia"/>
                <w:sz w:val="20"/>
                <w:szCs w:val="20"/>
                <w:lang w:val="en-US" w:eastAsia="zh-TW"/>
              </w:rPr>
              <w:t>ECC Decision(17)04</w:t>
            </w:r>
            <w:r>
              <w:rPr>
                <w:rFonts w:hint="eastAsia" w:eastAsiaTheme="minorEastAsia"/>
                <w:sz w:val="20"/>
                <w:szCs w:val="20"/>
                <w:lang w:val="en-US" w:eastAsia="zh-TW"/>
              </w:rPr>
              <w:t>)</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eastAsiaTheme="minorEastAsia"/>
                <w:sz w:val="20"/>
                <w:szCs w:val="20"/>
                <w:lang w:val="en-US" w:eastAsia="zh-TW"/>
              </w:rPr>
              <w:t>NTN VSAT operating with GSO</w:t>
            </w:r>
            <w:r>
              <w:rPr>
                <w:rFonts w:eastAsiaTheme="minorEastAsia"/>
                <w:sz w:val="20"/>
                <w:szCs w:val="20"/>
                <w:lang w:val="en-US" w:eastAsia="zh-TW"/>
              </w:rPr>
              <w:tab/>
            </w:r>
            <w:r>
              <w:rPr>
                <w:rFonts w:eastAsiaTheme="minorEastAsia"/>
                <w:sz w:val="20"/>
                <w:szCs w:val="20"/>
                <w:lang w:val="en-US" w:eastAsia="zh-TW"/>
              </w:rPr>
              <w:t>14.25 – 14.5 GHz</w:t>
            </w:r>
            <w:r>
              <w:rPr>
                <w:rFonts w:eastAsiaTheme="minorEastAsia"/>
                <w:sz w:val="20"/>
                <w:szCs w:val="20"/>
                <w:lang w:val="en-US" w:eastAsia="zh-TW"/>
              </w:rPr>
              <w:tab/>
            </w:r>
            <w:r>
              <w:rPr>
                <w:rFonts w:eastAsiaTheme="minorEastAsia"/>
                <w:sz w:val="20"/>
                <w:szCs w:val="20"/>
                <w:lang w:val="en-US" w:eastAsia="zh-TW"/>
              </w:rPr>
              <w:t>Max EIRP: 50 dBW</w:t>
            </w:r>
            <w:r>
              <w:rPr>
                <w:rFonts w:hint="eastAsia" w:eastAsiaTheme="minorEastAsia"/>
                <w:sz w:val="20"/>
                <w:szCs w:val="20"/>
                <w:lang w:val="en-US" w:eastAsia="zh-TW"/>
              </w:rPr>
              <w:t xml:space="preserve"> (from </w:t>
            </w:r>
            <w:r>
              <w:rPr>
                <w:rFonts w:eastAsiaTheme="minorEastAsia"/>
                <w:sz w:val="20"/>
                <w:szCs w:val="20"/>
                <w:lang w:val="en-US" w:eastAsia="zh-TW"/>
              </w:rPr>
              <w:t>ECC Decision(03)04</w:t>
            </w:r>
            <w:r>
              <w:rPr>
                <w:rFonts w:hint="eastAsia" w:eastAsiaTheme="minorEastAsia"/>
                <w:sz w:val="20"/>
                <w:szCs w:val="20"/>
                <w:lang w:val="en-US" w:eastAsia="zh-TW"/>
              </w:rPr>
              <w:t>)</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eastAsiaTheme="minorEastAsia"/>
                <w:sz w:val="20"/>
                <w:szCs w:val="20"/>
                <w:lang w:val="en-US" w:eastAsia="zh-TW"/>
              </w:rPr>
              <w:t>NTN VSAT operating with GSO</w:t>
            </w:r>
            <w:r>
              <w:rPr>
                <w:rFonts w:eastAsiaTheme="minorEastAsia"/>
                <w:sz w:val="20"/>
                <w:szCs w:val="20"/>
                <w:lang w:val="en-US" w:eastAsia="zh-TW"/>
              </w:rPr>
              <w:tab/>
            </w:r>
            <w:r>
              <w:rPr>
                <w:rFonts w:eastAsiaTheme="minorEastAsia"/>
                <w:sz w:val="20"/>
                <w:szCs w:val="20"/>
                <w:lang w:val="en-US" w:eastAsia="zh-TW"/>
              </w:rPr>
              <w:t>14.0 – 14.25 GHz</w:t>
            </w:r>
            <w:r>
              <w:rPr>
                <w:rFonts w:eastAsiaTheme="minorEastAsia"/>
                <w:sz w:val="20"/>
                <w:szCs w:val="20"/>
                <w:lang w:val="en-US" w:eastAsia="zh-TW"/>
              </w:rPr>
              <w:tab/>
            </w:r>
            <w:r>
              <w:rPr>
                <w:rFonts w:eastAsiaTheme="minorEastAsia"/>
                <w:sz w:val="20"/>
                <w:szCs w:val="20"/>
                <w:lang w:val="en-US" w:eastAsia="zh-TW"/>
              </w:rPr>
              <w:t>Max EIRP: 60 dBW</w:t>
            </w:r>
            <w:r>
              <w:rPr>
                <w:rFonts w:hint="eastAsia" w:eastAsiaTheme="minorEastAsia"/>
                <w:sz w:val="20"/>
                <w:szCs w:val="20"/>
                <w:lang w:val="en-US" w:eastAsia="zh-TW"/>
              </w:rPr>
              <w:t xml:space="preserve"> (from </w:t>
            </w:r>
            <w:r>
              <w:rPr>
                <w:rFonts w:eastAsiaTheme="minorEastAsia"/>
                <w:sz w:val="20"/>
                <w:szCs w:val="20"/>
                <w:lang w:val="en-US" w:eastAsia="zh-TW"/>
              </w:rPr>
              <w:t>ECC Decision(06)03</w:t>
            </w:r>
            <w:r>
              <w:rPr>
                <w:rFonts w:hint="eastAsia" w:eastAsiaTheme="minorEastAsia"/>
                <w:sz w:val="20"/>
                <w:szCs w:val="20"/>
                <w:lang w:val="en-US" w:eastAsia="zh-TW"/>
              </w:rPr>
              <w:t>)</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eastAsiaTheme="minorEastAsia"/>
                <w:sz w:val="20"/>
                <w:szCs w:val="20"/>
                <w:lang w:val="en-US" w:eastAsia="zh-TW"/>
              </w:rPr>
              <w:t>Mobile VSAT / Land ESIM</w:t>
            </w:r>
            <w:r>
              <w:rPr>
                <w:rFonts w:eastAsiaTheme="minorEastAsia"/>
                <w:sz w:val="20"/>
                <w:szCs w:val="20"/>
                <w:lang w:val="en-US" w:eastAsia="zh-TW"/>
              </w:rPr>
              <w:tab/>
            </w:r>
            <w:r>
              <w:rPr>
                <w:rFonts w:hint="eastAsia" w:eastAsiaTheme="minorEastAsia"/>
                <w:sz w:val="20"/>
                <w:szCs w:val="20"/>
                <w:lang w:val="en-US" w:eastAsia="zh-TW"/>
              </w:rPr>
              <w:tab/>
            </w:r>
            <w:r>
              <w:rPr>
                <w:rFonts w:hint="eastAsia" w:eastAsia="PMingLiU"/>
                <w:sz w:val="20"/>
                <w:szCs w:val="20"/>
                <w:lang w:val="en-US" w:eastAsia="zh-TW"/>
              </w:rPr>
              <w:t xml:space="preserve">      </w:t>
            </w:r>
            <w:r>
              <w:rPr>
                <w:rFonts w:eastAsiaTheme="minorEastAsia"/>
                <w:sz w:val="20"/>
                <w:szCs w:val="20"/>
                <w:lang w:val="en-US" w:eastAsia="zh-TW"/>
              </w:rPr>
              <w:t>14.0 – 14.5 GHz</w:t>
            </w:r>
            <w:r>
              <w:rPr>
                <w:rFonts w:eastAsiaTheme="minorEastAsia"/>
                <w:sz w:val="20"/>
                <w:szCs w:val="20"/>
                <w:lang w:val="en-US" w:eastAsia="zh-TW"/>
              </w:rPr>
              <w:tab/>
            </w:r>
            <w:r>
              <w:rPr>
                <w:rFonts w:hint="eastAsia" w:eastAsiaTheme="minorEastAsia"/>
                <w:sz w:val="20"/>
                <w:szCs w:val="20"/>
                <w:lang w:val="en-US" w:eastAsia="zh-TW"/>
              </w:rPr>
              <w:tab/>
            </w:r>
            <w:r>
              <w:rPr>
                <w:rFonts w:eastAsiaTheme="minorEastAsia"/>
                <w:sz w:val="20"/>
                <w:szCs w:val="20"/>
                <w:lang w:val="en-US" w:eastAsia="zh-TW"/>
              </w:rPr>
              <w:t>Max EIRP: 54.5 dBW</w:t>
            </w:r>
            <w:r>
              <w:rPr>
                <w:rFonts w:hint="eastAsia" w:eastAsiaTheme="minorEastAsia"/>
                <w:sz w:val="20"/>
                <w:szCs w:val="20"/>
                <w:lang w:val="en-US" w:eastAsia="zh-TW"/>
              </w:rPr>
              <w:t xml:space="preserve"> (from </w:t>
            </w:r>
            <w:r>
              <w:rPr>
                <w:sz w:val="20"/>
                <w:szCs w:val="20"/>
                <w:lang w:val="en-US"/>
              </w:rPr>
              <w:t>ECC Decision(18)04</w:t>
            </w:r>
            <w:r>
              <w:rPr>
                <w:rFonts w:hint="eastAsia" w:eastAsiaTheme="minorEastAsia"/>
                <w:sz w:val="20"/>
                <w:szCs w:val="20"/>
                <w:lang w:val="en-US" w:eastAsia="zh-TW"/>
              </w:rPr>
              <w:t>)</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eastAsiaTheme="minorEastAsia"/>
                <w:sz w:val="20"/>
                <w:szCs w:val="20"/>
                <w:lang w:val="en-US" w:eastAsia="zh-TW"/>
              </w:rPr>
              <w:t>Mobile VSAT / Maritime ESIM</w:t>
            </w:r>
            <w:r>
              <w:rPr>
                <w:rFonts w:eastAsiaTheme="minorEastAsia"/>
                <w:sz w:val="20"/>
                <w:szCs w:val="20"/>
                <w:lang w:val="en-US" w:eastAsia="zh-TW"/>
              </w:rPr>
              <w:tab/>
            </w:r>
            <w:r>
              <w:rPr>
                <w:rFonts w:hint="eastAsia" w:eastAsia="PMingLiU"/>
                <w:sz w:val="20"/>
                <w:szCs w:val="20"/>
                <w:lang w:val="en-US" w:eastAsia="zh-TW"/>
              </w:rPr>
              <w:t xml:space="preserve">      </w:t>
            </w:r>
            <w:r>
              <w:rPr>
                <w:rFonts w:eastAsiaTheme="minorEastAsia"/>
                <w:sz w:val="20"/>
                <w:szCs w:val="20"/>
                <w:lang w:val="en-US" w:eastAsia="zh-TW"/>
              </w:rPr>
              <w:t>14.0 – 14.5 GHz</w:t>
            </w:r>
            <w:r>
              <w:rPr>
                <w:rFonts w:eastAsiaTheme="minorEastAsia"/>
                <w:sz w:val="20"/>
                <w:szCs w:val="20"/>
                <w:lang w:val="en-US" w:eastAsia="zh-TW"/>
              </w:rPr>
              <w:tab/>
            </w:r>
            <w:r>
              <w:rPr>
                <w:rFonts w:hint="eastAsia" w:eastAsia="PMingLiU"/>
                <w:sz w:val="20"/>
                <w:szCs w:val="20"/>
                <w:lang w:val="en-US" w:eastAsia="zh-TW"/>
              </w:rPr>
              <w:t xml:space="preserve">      </w:t>
            </w:r>
            <w:r>
              <w:rPr>
                <w:rFonts w:hint="eastAsia" w:eastAsiaTheme="minorEastAsia"/>
                <w:sz w:val="20"/>
                <w:szCs w:val="20"/>
                <w:lang w:val="en-US" w:eastAsia="zh-TW"/>
              </w:rPr>
              <w:t>m</w:t>
            </w:r>
            <w:r>
              <w:rPr>
                <w:rFonts w:eastAsiaTheme="minorEastAsia"/>
                <w:sz w:val="20"/>
                <w:szCs w:val="20"/>
                <w:lang w:val="en-US" w:eastAsia="zh-TW"/>
              </w:rPr>
              <w:t>inimum antenna size: 0.6 m</w:t>
            </w:r>
            <w:r>
              <w:rPr>
                <w:rFonts w:hint="eastAsia" w:eastAsia="PMingLiU"/>
                <w:sz w:val="20"/>
                <w:szCs w:val="20"/>
                <w:lang w:val="en-US" w:eastAsia="zh-TW"/>
              </w:rPr>
              <w:t xml:space="preserve"> (from </w:t>
            </w:r>
            <w:r>
              <w:rPr>
                <w:sz w:val="20"/>
                <w:szCs w:val="20"/>
                <w:lang w:val="en-US" w:eastAsia="zh-TW"/>
              </w:rPr>
              <w:t>ECC Decision (05)10</w:t>
            </w:r>
            <w:r>
              <w:rPr>
                <w:rFonts w:hint="eastAsia" w:eastAsia="PMingLiU"/>
                <w:sz w:val="20"/>
                <w:szCs w:val="20"/>
                <w:lang w:val="en-US" w:eastAsia="zh-TW"/>
              </w:rPr>
              <w:t>)</w:t>
            </w:r>
          </w:p>
          <w:p>
            <w:pPr>
              <w:pStyle w:val="34"/>
              <w:keepNext/>
              <w:numPr>
                <w:ilvl w:val="0"/>
                <w:numId w:val="0"/>
              </w:numPr>
              <w:overflowPunct/>
              <w:autoSpaceDE/>
              <w:autoSpaceDN/>
              <w:adjustRightInd/>
              <w:spacing w:after="120" w:line="259" w:lineRule="auto"/>
              <w:ind w:left="2016" w:leftChars="0"/>
              <w:textAlignment w:val="auto"/>
              <w:rPr>
                <w:rFonts w:hint="eastAsia"/>
                <w:sz w:val="20"/>
                <w:szCs w:val="20"/>
                <w:vertAlign w:val="baseline"/>
                <w:lang w:val="en-US" w:eastAsia="zh-CN"/>
              </w:rPr>
            </w:pPr>
          </w:p>
        </w:tc>
      </w:tr>
    </w:tbl>
    <w:p>
      <w:pPr>
        <w:rPr>
          <w:rFonts w:hint="default" w:eastAsia="宋体"/>
          <w:sz w:val="20"/>
          <w:szCs w:val="20"/>
          <w:lang w:val="en-US" w:eastAsia="zh-CN"/>
        </w:rPr>
      </w:pPr>
      <w:r>
        <w:rPr>
          <w:rFonts w:hint="eastAsia"/>
          <w:sz w:val="20"/>
          <w:szCs w:val="20"/>
          <w:lang w:val="en-US" w:eastAsia="zh-CN"/>
        </w:rPr>
        <w:t xml:space="preserve">In last meeting, some ECC regulations involved in the maximum EIRP and the minimum antenna size were raised. Since the revised WID specifies that specify RF requirements for </w:t>
      </w:r>
      <w:r>
        <w:rPr>
          <w:bCs/>
          <w:sz w:val="20"/>
          <w:szCs w:val="20"/>
          <w:highlight w:val="none"/>
        </w:rPr>
        <w:t>mobile VSAT served by NGSO and GSO</w:t>
      </w:r>
      <w:r>
        <w:rPr>
          <w:rFonts w:hint="eastAsia"/>
          <w:bCs/>
          <w:sz w:val="20"/>
          <w:szCs w:val="20"/>
          <w:highlight w:val="none"/>
          <w:lang w:val="en-US" w:eastAsia="zh-CN"/>
        </w:rPr>
        <w:t xml:space="preserve"> and exclude NTN VSAT types 1 to 3, we only need to consider </w:t>
      </w:r>
      <w:r>
        <w:rPr>
          <w:rFonts w:hint="eastAsia"/>
          <w:sz w:val="20"/>
          <w:szCs w:val="20"/>
          <w:lang w:val="en-US" w:eastAsia="zh-CN"/>
        </w:rPr>
        <w:t xml:space="preserve">ECC regulation related to </w:t>
      </w:r>
      <w:r>
        <w:rPr>
          <w:bCs/>
          <w:sz w:val="20"/>
          <w:szCs w:val="20"/>
          <w:highlight w:val="none"/>
        </w:rPr>
        <w:t xml:space="preserve">mobile VSAT </w:t>
      </w:r>
      <w:r>
        <w:rPr>
          <w:rFonts w:hint="eastAsia"/>
          <w:bCs/>
          <w:sz w:val="20"/>
          <w:szCs w:val="20"/>
          <w:highlight w:val="none"/>
          <w:lang w:val="en-US" w:eastAsia="zh-CN"/>
        </w:rPr>
        <w:t>with</w:t>
      </w:r>
      <w:r>
        <w:rPr>
          <w:bCs/>
          <w:sz w:val="20"/>
          <w:szCs w:val="20"/>
          <w:highlight w:val="none"/>
        </w:rPr>
        <w:t xml:space="preserve"> NGSO and GSO</w:t>
      </w:r>
      <w:r>
        <w:rPr>
          <w:rFonts w:hint="eastAsia"/>
          <w:bCs/>
          <w:sz w:val="20"/>
          <w:szCs w:val="20"/>
          <w:highlight w:val="none"/>
          <w:lang w:val="en-US" w:eastAsia="zh-CN"/>
        </w:rPr>
        <w:t xml:space="preserve"> when defining RF requirements for Ku band. And the following </w:t>
      </w:r>
      <w:r>
        <w:rPr>
          <w:rFonts w:hint="eastAsia"/>
          <w:sz w:val="20"/>
          <w:szCs w:val="20"/>
          <w:lang w:val="en-US" w:eastAsia="zh-CN"/>
        </w:rPr>
        <w:t xml:space="preserve">ECC regulation will be considered when specifying the </w:t>
      </w:r>
      <w:r>
        <w:rPr>
          <w:rFonts w:hint="eastAsia" w:eastAsia="宋体"/>
          <w:sz w:val="20"/>
          <w:szCs w:val="20"/>
          <w:lang w:val="en-US" w:eastAsia="zh-CN"/>
        </w:rPr>
        <w:t>m</w:t>
      </w:r>
      <w:r>
        <w:rPr>
          <w:rFonts w:hint="eastAsia" w:eastAsia="PMingLiU"/>
          <w:sz w:val="20"/>
          <w:szCs w:val="20"/>
          <w:lang w:val="en-US" w:eastAsia="zh-TW"/>
        </w:rPr>
        <w:t>aximum EIRP requirements</w:t>
      </w:r>
      <w:r>
        <w:rPr>
          <w:rFonts w:hint="eastAsia" w:eastAsia="宋体"/>
          <w:sz w:val="20"/>
          <w:szCs w:val="20"/>
          <w:lang w:val="en-US" w:eastAsia="zh-CN"/>
        </w:rPr>
        <w:t xml:space="preserve"> for Ku band.</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8"/>
        <w:gridCol w:w="3649"/>
        <w:gridCol w:w="41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8" w:type="dxa"/>
          </w:tcPr>
          <w:p>
            <w:pPr>
              <w:pStyle w:val="65"/>
              <w:overflowPunct w:val="0"/>
              <w:autoSpaceDE w:val="0"/>
              <w:autoSpaceDN w:val="0"/>
              <w:adjustRightInd w:val="0"/>
              <w:spacing w:after="180"/>
              <w:textAlignment w:val="baseline"/>
              <w:rPr>
                <w:lang w:val="en-GB"/>
              </w:rPr>
            </w:pPr>
            <w:r>
              <w:rPr>
                <w:lang w:val="en-GB"/>
              </w:rPr>
              <w:t>ECC Decision</w:t>
            </w:r>
          </w:p>
        </w:tc>
        <w:tc>
          <w:tcPr>
            <w:tcW w:w="3649" w:type="dxa"/>
          </w:tcPr>
          <w:p>
            <w:pPr>
              <w:pStyle w:val="65"/>
              <w:overflowPunct w:val="0"/>
              <w:autoSpaceDE w:val="0"/>
              <w:autoSpaceDN w:val="0"/>
              <w:adjustRightInd w:val="0"/>
              <w:spacing w:after="180"/>
              <w:textAlignment w:val="baseline"/>
              <w:rPr>
                <w:rFonts w:hint="default" w:eastAsia="宋体"/>
                <w:lang w:val="en-US" w:eastAsia="zh-CN"/>
              </w:rPr>
            </w:pPr>
            <w:r>
              <w:rPr>
                <w:rFonts w:hint="eastAsia"/>
                <w:lang w:val="en-US" w:eastAsia="zh-CN"/>
              </w:rPr>
              <w:t>NTN VSAT type</w:t>
            </w:r>
          </w:p>
        </w:tc>
        <w:tc>
          <w:tcPr>
            <w:tcW w:w="4157" w:type="dxa"/>
          </w:tcPr>
          <w:p>
            <w:pPr>
              <w:pStyle w:val="65"/>
              <w:overflowPunct w:val="0"/>
              <w:autoSpaceDE w:val="0"/>
              <w:autoSpaceDN w:val="0"/>
              <w:adjustRightInd w:val="0"/>
              <w:spacing w:after="180"/>
              <w:textAlignment w:val="baseline"/>
              <w:rPr>
                <w:rFonts w:hint="default" w:eastAsia="宋体"/>
                <w:lang w:val="en-US" w:eastAsia="zh-CN"/>
              </w:rPr>
            </w:pPr>
            <w:r>
              <w:rPr>
                <w:rFonts w:hint="eastAsia"/>
                <w:lang w:val="en-US" w:eastAsia="zh-CN"/>
              </w:rPr>
              <w:t>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8" w:type="dxa"/>
          </w:tcPr>
          <w:p>
            <w:pPr>
              <w:pStyle w:val="58"/>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sz w:val="20"/>
                <w:szCs w:val="20"/>
                <w:lang w:val="en-GB"/>
              </w:rPr>
              <w:t>ECC Decision(18)04</w:t>
            </w:r>
          </w:p>
        </w:tc>
        <w:tc>
          <w:tcPr>
            <w:tcW w:w="3649" w:type="dxa"/>
          </w:tcPr>
          <w:p>
            <w:pPr>
              <w:pStyle w:val="58"/>
              <w:overflowPunct w:val="0"/>
              <w:autoSpaceDE w:val="0"/>
              <w:autoSpaceDN w:val="0"/>
              <w:adjustRightInd w:val="0"/>
              <w:spacing w:after="180"/>
              <w:textAlignment w:val="baseline"/>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Mobile VSAT with GSO</w:t>
            </w:r>
          </w:p>
        </w:tc>
        <w:tc>
          <w:tcPr>
            <w:tcW w:w="4157" w:type="dxa"/>
          </w:tcPr>
          <w:p>
            <w:pPr>
              <w:pStyle w:val="57"/>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eastAsiaTheme="minorEastAsia"/>
                <w:sz w:val="20"/>
                <w:szCs w:val="20"/>
                <w:lang w:val="en-US" w:eastAsia="zh-TW"/>
              </w:rPr>
              <w:t>Max EIRP: 54.5 dBW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8" w:type="dxa"/>
          </w:tcPr>
          <w:p>
            <w:pPr>
              <w:pStyle w:val="58"/>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sz w:val="20"/>
                <w:szCs w:val="20"/>
                <w:lang w:val="en-GB"/>
              </w:rPr>
              <w:t>ECC Decision(18)05</w:t>
            </w:r>
          </w:p>
        </w:tc>
        <w:tc>
          <w:tcPr>
            <w:tcW w:w="3649" w:type="dxa"/>
          </w:tcPr>
          <w:p>
            <w:pPr>
              <w:pStyle w:val="58"/>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sz w:val="20"/>
                <w:szCs w:val="20"/>
                <w:lang w:val="en-US" w:eastAsia="zh-CN"/>
              </w:rPr>
              <w:t>Mobile VSAT with NGSO</w:t>
            </w:r>
          </w:p>
        </w:tc>
        <w:tc>
          <w:tcPr>
            <w:tcW w:w="4157" w:type="dxa"/>
          </w:tcPr>
          <w:p>
            <w:pPr>
              <w:pStyle w:val="57"/>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eastAsiaTheme="minorEastAsia"/>
                <w:sz w:val="20"/>
                <w:szCs w:val="20"/>
                <w:lang w:val="en-US" w:eastAsia="zh-TW"/>
              </w:rPr>
              <w:t>Max EIRP: 54.5 dBW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8" w:type="dxa"/>
          </w:tcPr>
          <w:p>
            <w:pPr>
              <w:pStyle w:val="58"/>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sz w:val="20"/>
                <w:szCs w:val="20"/>
                <w:lang w:val="en-GB"/>
              </w:rPr>
              <w:t>ECC Decision(19)04</w:t>
            </w:r>
          </w:p>
        </w:tc>
        <w:tc>
          <w:tcPr>
            <w:tcW w:w="3649" w:type="dxa"/>
          </w:tcPr>
          <w:p>
            <w:pPr>
              <w:pStyle w:val="58"/>
              <w:overflowPunct w:val="0"/>
              <w:autoSpaceDE w:val="0"/>
              <w:autoSpaceDN w:val="0"/>
              <w:adjustRightInd w:val="0"/>
              <w:spacing w:after="180"/>
              <w:textAlignment w:val="baseline"/>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Mobile VSAT with GSO and NGSO</w:t>
            </w:r>
          </w:p>
        </w:tc>
        <w:tc>
          <w:tcPr>
            <w:tcW w:w="4157" w:type="dxa"/>
          </w:tcPr>
          <w:p>
            <w:pPr>
              <w:pStyle w:val="57"/>
              <w:overflowPunct w:val="0"/>
              <w:autoSpaceDE w:val="0"/>
              <w:autoSpaceDN w:val="0"/>
              <w:adjustRightInd w:val="0"/>
              <w:spacing w:after="180"/>
              <w:textAlignment w:val="baseline"/>
              <w:rPr>
                <w:rFonts w:hint="default" w:ascii="Times New Roman" w:hAnsi="Times New Roman" w:cs="Times New Roman"/>
                <w:sz w:val="20"/>
                <w:szCs w:val="20"/>
                <w:lang w:val="en-GB"/>
              </w:rPr>
            </w:pPr>
            <w:r>
              <w:rPr>
                <w:rFonts w:hint="default" w:ascii="Times New Roman" w:hAnsi="Times New Roman" w:cs="Times New Roman" w:eastAsiaTheme="minorEastAsia"/>
                <w:sz w:val="20"/>
                <w:szCs w:val="20"/>
                <w:lang w:val="en-US" w:eastAsia="zh-TW"/>
              </w:rPr>
              <w:t>Max EIRP: 5</w:t>
            </w:r>
            <w:r>
              <w:rPr>
                <w:rFonts w:hint="default" w:ascii="Times New Roman" w:hAnsi="Times New Roman" w:cs="Times New Roman" w:eastAsiaTheme="minorEastAsia"/>
                <w:sz w:val="20"/>
                <w:szCs w:val="20"/>
                <w:lang w:val="en-US" w:eastAsia="zh-CN"/>
              </w:rPr>
              <w:t>0</w:t>
            </w:r>
            <w:r>
              <w:rPr>
                <w:rFonts w:hint="default" w:ascii="Times New Roman" w:hAnsi="Times New Roman" w:cs="Times New Roman" w:eastAsiaTheme="minorEastAsia"/>
                <w:sz w:val="20"/>
                <w:szCs w:val="20"/>
                <w:lang w:val="en-US" w:eastAsia="zh-TW"/>
              </w:rPr>
              <w:t xml:space="preserve"> dBW</w:t>
            </w:r>
          </w:p>
        </w:tc>
      </w:tr>
    </w:tbl>
    <w:p>
      <w:pPr>
        <w:numPr>
          <w:ilvl w:val="0"/>
          <w:numId w:val="0"/>
        </w:numPr>
        <w:overflowPunct w:val="0"/>
        <w:autoSpaceDE w:val="0"/>
        <w:autoSpaceDN w:val="0"/>
        <w:adjustRightInd w:val="0"/>
        <w:spacing w:after="0"/>
        <w:jc w:val="both"/>
        <w:textAlignment w:val="baseline"/>
        <w:rPr>
          <w:rFonts w:hint="default"/>
          <w:b/>
          <w:bCs/>
          <w:sz w:val="18"/>
          <w:szCs w:val="16"/>
          <w:lang w:val="en-US" w:eastAsia="zh-CN"/>
        </w:rPr>
      </w:pPr>
      <w:r>
        <w:rPr>
          <w:rFonts w:hint="eastAsia"/>
          <w:b/>
          <w:bCs/>
          <w:sz w:val="20"/>
          <w:szCs w:val="20"/>
          <w:lang w:val="en-US" w:eastAsia="zh-CN"/>
        </w:rPr>
        <w:t>Proposal 2: It is proposed to only consider ECC regulation related to mobile VSAT with NGSO and GSO when specifying the maximum EIRP requirements for Ku band.</w:t>
      </w: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sz w:val="24"/>
          <w:szCs w:val="18"/>
          <w:lang w:val="en-US" w:eastAsia="zh-CN"/>
        </w:rPr>
      </w:pPr>
      <w:r>
        <w:rPr>
          <w:rFonts w:hint="eastAsia"/>
          <w:sz w:val="24"/>
          <w:szCs w:val="18"/>
          <w:lang w:val="en-US" w:eastAsia="zh-CN"/>
        </w:rPr>
        <w:t>2.3 Off-axis EIRP emission density limit within the operating band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1-2-</w:t>
            </w:r>
            <w:r>
              <w:rPr>
                <w:rFonts w:hint="eastAsia" w:eastAsia="PMingLiU"/>
                <w:sz w:val="20"/>
                <w:szCs w:val="20"/>
                <w:lang w:val="en-US" w:eastAsia="zh-TW"/>
              </w:rPr>
              <w:t>4</w:t>
            </w:r>
            <w:r>
              <w:rPr>
                <w:sz w:val="20"/>
                <w:szCs w:val="20"/>
                <w:lang w:val="en-US"/>
              </w:rPr>
              <w:t>:</w:t>
            </w:r>
            <w:r>
              <w:rPr>
                <w:rFonts w:hint="eastAsia" w:eastAsia="PMingLiU"/>
                <w:sz w:val="20"/>
                <w:szCs w:val="20"/>
                <w:lang w:val="en-US" w:eastAsia="zh-TW"/>
              </w:rPr>
              <w:t xml:space="preserve"> Off-axis EIRP requirements for the CEPT Ku band</w:t>
            </w:r>
          </w:p>
          <w:p>
            <w:pPr>
              <w:pStyle w:val="34"/>
              <w:keepNext/>
              <w:numPr>
                <w:ilvl w:val="0"/>
                <w:numId w:val="10"/>
              </w:numPr>
              <w:overflowPunct/>
              <w:autoSpaceDE/>
              <w:autoSpaceDN/>
              <w:adjustRightInd/>
              <w:spacing w:after="120" w:line="259" w:lineRule="auto"/>
              <w:ind w:firstLineChars="0"/>
              <w:textAlignment w:val="auto"/>
              <w:rPr>
                <w:sz w:val="20"/>
                <w:szCs w:val="20"/>
                <w:lang w:val="en-US"/>
              </w:rPr>
            </w:pPr>
            <w:r>
              <w:rPr>
                <w:sz w:val="20"/>
                <w:szCs w:val="20"/>
                <w:lang w:val="en-US"/>
              </w:rPr>
              <w:t xml:space="preserve">For the UL band 14.0 - 14.5 GHz (E-to-S) </w:t>
            </w:r>
            <w:r>
              <w:rPr>
                <w:rFonts w:eastAsia="PMingLiU"/>
                <w:sz w:val="20"/>
                <w:szCs w:val="20"/>
                <w:lang w:eastAsia="zh-TW"/>
              </w:rPr>
              <w:t>concerning requirements from ECC regulation and ETSI standards</w:t>
            </w:r>
            <w:r>
              <w:rPr>
                <w:sz w:val="20"/>
                <w:szCs w:val="20"/>
                <w:lang w:val="en-US"/>
              </w:rPr>
              <w:t>:</w:t>
            </w:r>
          </w:p>
          <w:p>
            <w:pPr>
              <w:pStyle w:val="34"/>
              <w:keepNext/>
              <w:numPr>
                <w:ilvl w:val="1"/>
                <w:numId w:val="10"/>
              </w:numPr>
              <w:overflowPunct/>
              <w:autoSpaceDE/>
              <w:autoSpaceDN/>
              <w:adjustRightInd/>
              <w:spacing w:after="120" w:line="259" w:lineRule="auto"/>
              <w:ind w:firstLineChars="0"/>
              <w:textAlignment w:val="auto"/>
              <w:rPr>
                <w:rFonts w:hint="eastAsia"/>
                <w:sz w:val="20"/>
                <w:szCs w:val="20"/>
                <w:vertAlign w:val="baseline"/>
                <w:lang w:val="en-US" w:eastAsia="zh-CN"/>
              </w:rPr>
            </w:pPr>
            <w:r>
              <w:rPr>
                <w:rFonts w:hint="eastAsia" w:eastAsia="PMingLiU"/>
                <w:sz w:val="20"/>
                <w:szCs w:val="20"/>
                <w:lang w:val="en-US" w:eastAsia="zh-TW"/>
              </w:rPr>
              <w:t>Specify the off</w:t>
            </w:r>
            <w:r>
              <w:rPr>
                <w:rFonts w:eastAsia="宋体"/>
                <w:sz w:val="20"/>
                <w:szCs w:val="20"/>
                <w:lang w:eastAsia="zh-CN"/>
              </w:rPr>
              <w:t>-axis EIRP density limit</w:t>
            </w:r>
            <w:r>
              <w:rPr>
                <w:rFonts w:hint="eastAsia" w:eastAsia="PMingLiU"/>
                <w:sz w:val="20"/>
                <w:szCs w:val="20"/>
                <w:lang w:eastAsia="zh-TW"/>
              </w:rPr>
              <w:t xml:space="preserve"> based</w:t>
            </w:r>
            <w:r>
              <w:rPr>
                <w:rFonts w:eastAsia="PMingLiU"/>
                <w:sz w:val="20"/>
                <w:szCs w:val="20"/>
                <w:lang w:val="en-US" w:eastAsia="zh-TW"/>
              </w:rPr>
              <w:t xml:space="preserve"> on EN 301 428,</w:t>
            </w:r>
            <w:r>
              <w:rPr>
                <w:rFonts w:hint="eastAsia" w:eastAsia="PMingLiU"/>
                <w:sz w:val="20"/>
                <w:szCs w:val="20"/>
                <w:lang w:val="en-US" w:eastAsia="zh-TW"/>
              </w:rPr>
              <w:t xml:space="preserve"> </w:t>
            </w:r>
            <w:r>
              <w:rPr>
                <w:rFonts w:eastAsia="PMingLiU"/>
                <w:sz w:val="20"/>
                <w:szCs w:val="20"/>
                <w:lang w:val="en-US" w:eastAsia="zh-TW"/>
              </w:rPr>
              <w:t>EN 302 340 and EN 302 977</w:t>
            </w:r>
            <w:r>
              <w:rPr>
                <w:rFonts w:hint="eastAsia" w:eastAsia="PMingLiU"/>
                <w:sz w:val="20"/>
                <w:szCs w:val="20"/>
                <w:lang w:val="en-US" w:eastAsia="zh-TW"/>
              </w:rPr>
              <w:t xml:space="preserve"> as a </w:t>
            </w:r>
            <w:r>
              <w:rPr>
                <w:rFonts w:eastAsia="PMingLiU"/>
                <w:sz w:val="20"/>
                <w:szCs w:val="20"/>
                <w:lang w:val="en-US" w:eastAsia="zh-TW"/>
              </w:rPr>
              <w:t>starting point</w:t>
            </w:r>
            <w:r>
              <w:rPr>
                <w:rFonts w:hint="eastAsia" w:eastAsia="PMingLiU"/>
                <w:sz w:val="20"/>
                <w:szCs w:val="20"/>
                <w:lang w:val="en-US" w:eastAsia="zh-TW"/>
              </w:rPr>
              <w:t>, the ECC decision can be further checked whether additional updated is needed.</w:t>
            </w:r>
          </w:p>
        </w:tc>
      </w:tr>
    </w:tbl>
    <w:p>
      <w:pPr>
        <w:rPr>
          <w:rFonts w:hint="default" w:eastAsia="宋体"/>
          <w:sz w:val="20"/>
          <w:szCs w:val="20"/>
          <w:lang w:val="en-US" w:eastAsia="zh-CN"/>
        </w:rPr>
      </w:pPr>
      <w:r>
        <w:rPr>
          <w:rFonts w:hint="eastAsia"/>
          <w:sz w:val="20"/>
          <w:szCs w:val="20"/>
          <w:lang w:val="en-US" w:eastAsia="zh-CN"/>
        </w:rPr>
        <w:t xml:space="preserve">The above is way forward in last meeting, and we need to take </w:t>
      </w:r>
      <w:r>
        <w:rPr>
          <w:rFonts w:eastAsia="PMingLiU"/>
          <w:sz w:val="20"/>
          <w:szCs w:val="20"/>
          <w:lang w:eastAsia="zh-TW"/>
        </w:rPr>
        <w:t>ECC regulation and ETSI standards</w:t>
      </w:r>
      <w:r>
        <w:rPr>
          <w:rFonts w:hint="eastAsia" w:eastAsia="宋体"/>
          <w:sz w:val="20"/>
          <w:szCs w:val="20"/>
          <w:lang w:val="en-US" w:eastAsia="zh-CN"/>
        </w:rPr>
        <w:t xml:space="preserve"> into consideration </w:t>
      </w:r>
      <w:r>
        <w:rPr>
          <w:rFonts w:hint="eastAsia"/>
          <w:sz w:val="20"/>
          <w:szCs w:val="20"/>
          <w:lang w:val="en-US" w:eastAsia="zh-CN"/>
        </w:rPr>
        <w:t xml:space="preserve">when specifying off-axis EIRP emission density limit. In last meeting, we already checked </w:t>
      </w:r>
      <w:r>
        <w:rPr>
          <w:rFonts w:eastAsia="PMingLiU"/>
          <w:sz w:val="20"/>
          <w:szCs w:val="20"/>
          <w:lang w:eastAsia="zh-TW"/>
        </w:rPr>
        <w:t>ETSI standards</w:t>
      </w:r>
      <w:r>
        <w:rPr>
          <w:rFonts w:hint="eastAsia" w:eastAsia="宋体"/>
          <w:sz w:val="20"/>
          <w:szCs w:val="20"/>
          <w:lang w:val="en-US" w:eastAsia="zh-CN"/>
        </w:rPr>
        <w:t xml:space="preserve">, and </w:t>
      </w:r>
      <w:r>
        <w:rPr>
          <w:rFonts w:hint="eastAsia" w:eastAsia="PMingLiU"/>
          <w:sz w:val="20"/>
          <w:szCs w:val="20"/>
          <w:lang w:val="en-US" w:eastAsia="zh-TW"/>
        </w:rPr>
        <w:t>ECC decision</w:t>
      </w:r>
      <w:r>
        <w:rPr>
          <w:rFonts w:hint="eastAsia" w:eastAsia="宋体"/>
          <w:sz w:val="20"/>
          <w:szCs w:val="20"/>
          <w:lang w:val="en-US" w:eastAsia="zh-CN"/>
        </w:rPr>
        <w:t xml:space="preserve"> needs to be further considered.</w:t>
      </w:r>
    </w:p>
    <w:p>
      <w:pPr>
        <w:rPr>
          <w:rFonts w:hint="eastAsia" w:eastAsia="宋体"/>
          <w:sz w:val="20"/>
          <w:szCs w:val="20"/>
          <w:lang w:val="en-US" w:eastAsia="zh-CN"/>
        </w:rPr>
      </w:pPr>
      <w:r>
        <w:rPr>
          <w:rFonts w:hint="eastAsia"/>
          <w:sz w:val="20"/>
          <w:szCs w:val="20"/>
          <w:lang w:val="en-US" w:eastAsia="zh-CN"/>
        </w:rPr>
        <w:t>In addition</w:t>
      </w:r>
      <w:r>
        <w:rPr>
          <w:rFonts w:hint="eastAsia" w:eastAsia="宋体"/>
          <w:sz w:val="20"/>
          <w:szCs w:val="20"/>
          <w:lang w:val="en-US" w:eastAsia="zh-CN"/>
        </w:rPr>
        <w:t xml:space="preserve">, in last RAN meeting, a revised WID was approved which adds mobile VSAT with NGSO to the objective and demands that only specify RF requirements for mobile VSAT with </w:t>
      </w:r>
      <w:r>
        <w:rPr>
          <w:rFonts w:hint="eastAsia"/>
          <w:sz w:val="20"/>
          <w:szCs w:val="20"/>
          <w:lang w:val="en-US" w:eastAsia="zh-CN"/>
        </w:rPr>
        <w:t xml:space="preserve">GSO and </w:t>
      </w:r>
      <w:r>
        <w:rPr>
          <w:rFonts w:hint="eastAsia" w:eastAsia="宋体"/>
          <w:sz w:val="20"/>
          <w:szCs w:val="20"/>
          <w:lang w:val="en-US" w:eastAsia="zh-CN"/>
        </w:rPr>
        <w:t xml:space="preserve">NGSO. So we only need to consider how to specify RF requirements for mobile VSAT with GSO and NGSO for Ku band. </w:t>
      </w:r>
    </w:p>
    <w:p>
      <w:pPr>
        <w:rPr>
          <w:rFonts w:hint="eastAsia" w:eastAsia="宋体"/>
          <w:sz w:val="20"/>
          <w:szCs w:val="20"/>
          <w:lang w:val="en-US" w:eastAsia="zh-CN"/>
        </w:rPr>
      </w:pPr>
      <w:r>
        <w:rPr>
          <w:rFonts w:eastAsia="PMingLiU"/>
          <w:sz w:val="20"/>
          <w:szCs w:val="20"/>
          <w:lang w:val="en-US" w:eastAsia="zh-TW"/>
        </w:rPr>
        <w:t>EN 301 428,</w:t>
      </w:r>
      <w:r>
        <w:rPr>
          <w:rFonts w:hint="eastAsia" w:eastAsia="PMingLiU"/>
          <w:sz w:val="20"/>
          <w:szCs w:val="20"/>
          <w:lang w:val="en-US" w:eastAsia="zh-TW"/>
        </w:rPr>
        <w:t xml:space="preserve"> </w:t>
      </w:r>
      <w:r>
        <w:rPr>
          <w:rFonts w:eastAsia="PMingLiU"/>
          <w:sz w:val="20"/>
          <w:szCs w:val="20"/>
          <w:lang w:val="en-US" w:eastAsia="zh-TW"/>
        </w:rPr>
        <w:t>EN 302 340 and EN 302 977</w:t>
      </w:r>
      <w:r>
        <w:rPr>
          <w:rFonts w:hint="eastAsia" w:eastAsia="宋体"/>
          <w:sz w:val="20"/>
          <w:szCs w:val="20"/>
          <w:lang w:val="en-US" w:eastAsia="zh-CN"/>
        </w:rPr>
        <w:t xml:space="preserve"> all apply to mobile VSAT, and only </w:t>
      </w:r>
      <w:r>
        <w:rPr>
          <w:rFonts w:eastAsia="PMingLiU"/>
          <w:sz w:val="20"/>
          <w:szCs w:val="20"/>
          <w:lang w:val="en-US" w:eastAsia="zh-TW"/>
        </w:rPr>
        <w:t>EN 302 977</w:t>
      </w:r>
      <w:r>
        <w:rPr>
          <w:rFonts w:hint="eastAsia" w:eastAsia="宋体"/>
          <w:sz w:val="20"/>
          <w:szCs w:val="20"/>
          <w:lang w:val="en-US" w:eastAsia="zh-CN"/>
        </w:rPr>
        <w:t xml:space="preserve"> clarifies that the regulation is for mobile VSAT</w:t>
      </w:r>
      <w:r>
        <w:rPr>
          <w:rFonts w:hint="eastAsia"/>
          <w:sz w:val="20"/>
          <w:szCs w:val="20"/>
          <w:lang w:val="en-US" w:eastAsia="zh-CN"/>
        </w:rPr>
        <w:t xml:space="preserve"> with </w:t>
      </w:r>
      <w:r>
        <w:rPr>
          <w:rFonts w:hint="eastAsia" w:eastAsia="宋体"/>
          <w:sz w:val="20"/>
          <w:szCs w:val="20"/>
          <w:lang w:val="en-US" w:eastAsia="zh-CN"/>
        </w:rPr>
        <w:t>GSO.</w:t>
      </w:r>
    </w:p>
    <w:p>
      <w:pPr>
        <w:rPr>
          <w:rFonts w:hint="default"/>
          <w:b/>
          <w:bCs/>
          <w:lang w:val="en-US" w:eastAsia="zh-CN"/>
        </w:rPr>
      </w:pPr>
      <w:r>
        <w:rPr>
          <w:rFonts w:hint="eastAsia"/>
          <w:b/>
          <w:bCs/>
          <w:lang w:val="en-US" w:eastAsia="zh-CN"/>
        </w:rPr>
        <w:t>EN 301 428 (14.0-14.5 GHz)</w:t>
      </w:r>
    </w:p>
    <w:p>
      <w:r>
        <w:drawing>
          <wp:inline distT="0" distB="0" distL="114300" distR="114300">
            <wp:extent cx="4697095" cy="1768475"/>
            <wp:effectExtent l="116840" t="86360" r="337185" b="3244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4697095" cy="1768475"/>
                    </a:xfrm>
                    <a:prstGeom prst="rect">
                      <a:avLst/>
                    </a:prstGeom>
                    <a:ln>
                      <a:noFill/>
                    </a:ln>
                    <a:effectLst>
                      <a:outerShdw blurRad="292100" dist="139700" dir="2700000" algn="tl" rotWithShape="0">
                        <a:srgbClr val="333333">
                          <a:alpha val="65000"/>
                        </a:srgbClr>
                      </a:outerShdw>
                    </a:effectLst>
                  </pic:spPr>
                </pic:pic>
              </a:graphicData>
            </a:graphic>
          </wp:inline>
        </w:drawing>
      </w:r>
    </w:p>
    <w:p>
      <w:pPr>
        <w:rPr>
          <w:rFonts w:hint="default"/>
          <w:b/>
          <w:bCs/>
          <w:lang w:val="en-US" w:eastAsia="zh-CN"/>
        </w:rPr>
      </w:pPr>
      <w:r>
        <w:rPr>
          <w:rFonts w:hint="eastAsia"/>
          <w:b/>
          <w:bCs/>
          <w:lang w:val="en-US" w:eastAsia="zh-CN"/>
        </w:rPr>
        <w:t>EN 302 340, EN 302 977 (14.0-14.5 GHz)</w:t>
      </w:r>
    </w:p>
    <w:p>
      <w:pPr>
        <w:rPr>
          <w:rFonts w:hint="eastAsia" w:eastAsia="宋体"/>
          <w:sz w:val="20"/>
          <w:szCs w:val="20"/>
          <w:lang w:val="en-US" w:eastAsia="zh-CN"/>
        </w:rPr>
      </w:pPr>
      <w:r>
        <w:drawing>
          <wp:inline distT="0" distB="0" distL="114300" distR="114300">
            <wp:extent cx="4500880" cy="1715770"/>
            <wp:effectExtent l="116840" t="86360" r="335280" b="3162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4500880" cy="1715770"/>
                    </a:xfrm>
                    <a:prstGeom prst="rect">
                      <a:avLst/>
                    </a:prstGeom>
                    <a:ln>
                      <a:noFill/>
                    </a:ln>
                    <a:effectLst>
                      <a:outerShdw blurRad="292100" dist="139700" dir="2700000" algn="tl" rotWithShape="0">
                        <a:srgbClr val="333333">
                          <a:alpha val="65000"/>
                        </a:srgbClr>
                      </a:outerShdw>
                    </a:effectLst>
                  </pic:spPr>
                </pic:pic>
              </a:graphicData>
            </a:graphic>
          </wp:inline>
        </w:drawing>
      </w:r>
    </w:p>
    <w:p>
      <w:pPr>
        <w:rPr>
          <w:rFonts w:hint="default" w:eastAsia="宋体"/>
          <w:b/>
          <w:bCs/>
          <w:sz w:val="20"/>
          <w:szCs w:val="20"/>
          <w:lang w:val="en-US" w:eastAsia="zh-CN"/>
        </w:rPr>
      </w:pPr>
      <w:r>
        <w:rPr>
          <w:rFonts w:hint="eastAsia" w:eastAsia="宋体"/>
          <w:b/>
          <w:bCs/>
          <w:sz w:val="20"/>
          <w:szCs w:val="20"/>
          <w:lang w:val="en-US" w:eastAsia="zh-CN"/>
        </w:rPr>
        <w:t>Observation 1: EN 301 428, EN 302 340 and EN 302 977 all apply to mobile VSAT, and only EN 302 977 clarifies that the regulation is for mobile VSAT with GSO.</w:t>
      </w:r>
    </w:p>
    <w:p>
      <w:pPr>
        <w:rPr>
          <w:rFonts w:hint="eastAsia" w:cs="Times New Roman"/>
          <w:sz w:val="20"/>
          <w:szCs w:val="20"/>
          <w:lang w:val="en-US" w:eastAsia="zh-CN"/>
        </w:rPr>
      </w:pPr>
      <w:r>
        <w:rPr>
          <w:rFonts w:hint="eastAsia"/>
          <w:sz w:val="20"/>
          <w:szCs w:val="20"/>
          <w:lang w:val="en-US" w:eastAsia="zh-CN"/>
        </w:rPr>
        <w:t xml:space="preserve">Based on the above analysis, we further check the </w:t>
      </w:r>
      <w:r>
        <w:rPr>
          <w:rFonts w:hint="default" w:ascii="Times New Roman" w:hAnsi="Times New Roman" w:cs="Times New Roman"/>
          <w:sz w:val="20"/>
          <w:szCs w:val="20"/>
          <w:lang w:val="en-GB"/>
        </w:rPr>
        <w:t>ECC Decision</w:t>
      </w:r>
      <w:r>
        <w:rPr>
          <w:rFonts w:hint="eastAsia" w:cs="Times New Roman"/>
          <w:sz w:val="20"/>
          <w:szCs w:val="20"/>
          <w:lang w:val="en-US" w:eastAsia="zh-CN"/>
        </w:rPr>
        <w:t xml:space="preserve">, and find the following requirement for mobile VSAT with GSO in </w:t>
      </w:r>
      <w:r>
        <w:rPr>
          <w:rFonts w:hint="default" w:ascii="Times New Roman" w:hAnsi="Times New Roman" w:cs="Times New Roman"/>
          <w:sz w:val="20"/>
          <w:szCs w:val="20"/>
          <w:lang w:val="en-GB"/>
        </w:rPr>
        <w:t>ECC Decision(18)04</w:t>
      </w:r>
      <w:r>
        <w:rPr>
          <w:rFonts w:hint="eastAsia" w:cs="Times New Roman"/>
          <w:sz w:val="20"/>
          <w:szCs w:val="20"/>
          <w:lang w:val="en-US" w:eastAsia="zh-CN"/>
        </w:rPr>
        <w:t>. It can be observed that for the maximum EIRP of FSS earth station, the FCC EIRP mask is used. In other words, the maximum EIRP of FSS earth station is same as off-axis EIRP density limits for co-polarized transmissions in the plane tangent to the GSO arc for the conventional Ku-band defined in FCC Title 47 Chapter I Subchapter B Part 25.</w:t>
      </w:r>
    </w:p>
    <w:p>
      <w:pPr>
        <w:rPr>
          <w:rFonts w:hint="default" w:cs="Times New Roman"/>
          <w:sz w:val="20"/>
          <w:szCs w:val="20"/>
          <w:lang w:val="en-US" w:eastAsia="zh-CN"/>
        </w:rPr>
      </w:pPr>
      <w:r>
        <w:rPr>
          <w:rFonts w:hint="eastAsia"/>
          <w:b/>
          <w:bCs/>
          <w:lang w:val="en-US" w:eastAsia="zh-CN"/>
        </w:rPr>
        <w:t>ECC Decision(18)04</w:t>
      </w:r>
    </w:p>
    <w:p>
      <w:r>
        <w:drawing>
          <wp:inline distT="0" distB="0" distL="114300" distR="114300">
            <wp:extent cx="4489450" cy="853440"/>
            <wp:effectExtent l="0" t="0" r="635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489450" cy="853440"/>
                    </a:xfrm>
                    <a:prstGeom prst="rect">
                      <a:avLst/>
                    </a:prstGeom>
                    <a:noFill/>
                    <a:ln>
                      <a:noFill/>
                    </a:ln>
                  </pic:spPr>
                </pic:pic>
              </a:graphicData>
            </a:graphic>
          </wp:inline>
        </w:drawing>
      </w:r>
    </w:p>
    <w:p>
      <w:r>
        <w:drawing>
          <wp:inline distT="0" distB="0" distL="114300" distR="114300">
            <wp:extent cx="4498975" cy="1472565"/>
            <wp:effectExtent l="0" t="0" r="12065" b="57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5"/>
                    <a:stretch>
                      <a:fillRect/>
                    </a:stretch>
                  </pic:blipFill>
                  <pic:spPr>
                    <a:xfrm>
                      <a:off x="0" y="0"/>
                      <a:ext cx="4498975" cy="1472565"/>
                    </a:xfrm>
                    <a:prstGeom prst="rect">
                      <a:avLst/>
                    </a:prstGeom>
                    <a:noFill/>
                    <a:ln>
                      <a:noFill/>
                    </a:ln>
                  </pic:spPr>
                </pic:pic>
              </a:graphicData>
            </a:graphic>
          </wp:inline>
        </w:drawing>
      </w:r>
    </w:p>
    <w:p>
      <w:pPr>
        <w:rPr>
          <w:rFonts w:hint="default"/>
          <w:b/>
          <w:bCs/>
          <w:color w:val="auto"/>
          <w:lang w:val="en-US"/>
        </w:rPr>
      </w:pPr>
      <w:r>
        <w:rPr>
          <w:rFonts w:hint="eastAsia"/>
          <w:b/>
          <w:bCs/>
          <w:color w:val="auto"/>
          <w:lang w:val="en-US" w:eastAsia="zh-CN"/>
        </w:rPr>
        <w:t>FCC 25.218</w:t>
      </w:r>
      <w:r>
        <w:rPr>
          <w:rFonts w:hint="eastAsia"/>
          <w:b/>
          <w:bCs/>
          <w:lang w:val="en-US" w:eastAsia="zh-CN"/>
        </w:rPr>
        <w:t xml:space="preserve"> (14.0-14.5 GHz)</w:t>
      </w:r>
    </w:p>
    <w:p>
      <w:pPr>
        <w:jc w:val="center"/>
        <w:rPr>
          <w:rFonts w:hint="default"/>
          <w:lang w:val="en-US" w:eastAsia="zh-CN"/>
        </w:rPr>
      </w:pPr>
      <w:r>
        <w:drawing>
          <wp:inline distT="0" distB="0" distL="114300" distR="114300">
            <wp:extent cx="3961765" cy="3326765"/>
            <wp:effectExtent l="116840" t="86360" r="340995" b="32067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6"/>
                    <a:stretch>
                      <a:fillRect/>
                    </a:stretch>
                  </pic:blipFill>
                  <pic:spPr>
                    <a:xfrm>
                      <a:off x="0" y="0"/>
                      <a:ext cx="3961765" cy="3326765"/>
                    </a:xfrm>
                    <a:prstGeom prst="rect">
                      <a:avLst/>
                    </a:prstGeom>
                    <a:ln>
                      <a:noFill/>
                    </a:ln>
                    <a:effectLst>
                      <a:outerShdw blurRad="292100" dist="139700" dir="2700000" algn="tl" rotWithShape="0">
                        <a:srgbClr val="333333">
                          <a:alpha val="65000"/>
                        </a:srgbClr>
                      </a:outerShdw>
                    </a:effectLst>
                  </pic:spPr>
                </pic:pic>
              </a:graphicData>
            </a:graphic>
          </wp:inline>
        </w:drawing>
      </w:r>
    </w:p>
    <w:p>
      <w:pPr>
        <w:rPr>
          <w:rFonts w:hint="default"/>
          <w:lang w:val="en-US" w:eastAsia="zh-CN"/>
        </w:rPr>
      </w:pPr>
      <w:r>
        <w:rPr>
          <w:rFonts w:hint="eastAsia" w:eastAsia="宋体"/>
          <w:b/>
          <w:bCs/>
          <w:sz w:val="20"/>
          <w:szCs w:val="20"/>
          <w:lang w:val="en-US" w:eastAsia="zh-CN"/>
        </w:rPr>
        <w:t xml:space="preserve">Observation </w:t>
      </w:r>
      <w:r>
        <w:rPr>
          <w:rFonts w:hint="eastAsia"/>
          <w:b/>
          <w:bCs/>
          <w:sz w:val="20"/>
          <w:szCs w:val="20"/>
          <w:lang w:val="en-US" w:eastAsia="zh-CN"/>
        </w:rPr>
        <w:t>2</w:t>
      </w:r>
      <w:r>
        <w:rPr>
          <w:rFonts w:hint="eastAsia" w:eastAsia="宋体"/>
          <w:b/>
          <w:bCs/>
          <w:sz w:val="20"/>
          <w:szCs w:val="20"/>
          <w:lang w:val="en-US" w:eastAsia="zh-CN"/>
        </w:rPr>
        <w:t>: ECC Decision(18)04</w:t>
      </w:r>
      <w:r>
        <w:rPr>
          <w:rFonts w:hint="eastAsia"/>
          <w:b/>
          <w:bCs/>
          <w:sz w:val="20"/>
          <w:szCs w:val="20"/>
          <w:lang w:val="en-US" w:eastAsia="zh-CN"/>
        </w:rPr>
        <w:t xml:space="preserve"> specifies off-axis EIRP requirement for </w:t>
      </w:r>
      <w:r>
        <w:rPr>
          <w:rFonts w:hint="eastAsia" w:eastAsia="宋体"/>
          <w:b/>
          <w:bCs/>
          <w:sz w:val="20"/>
          <w:szCs w:val="20"/>
          <w:lang w:val="en-US" w:eastAsia="zh-CN"/>
        </w:rPr>
        <w:t>mobile VSAT with GSO</w:t>
      </w:r>
      <w:r>
        <w:rPr>
          <w:rFonts w:hint="eastAsia"/>
          <w:b/>
          <w:bCs/>
          <w:sz w:val="20"/>
          <w:szCs w:val="20"/>
          <w:lang w:val="en-US" w:eastAsia="zh-CN"/>
        </w:rPr>
        <w:t>, which is same as the requirement in FCC regulation.</w:t>
      </w:r>
    </w:p>
    <w:p>
      <w:pPr>
        <w:pStyle w:val="3"/>
        <w:keepNext w:val="0"/>
        <w:keepLines w:val="0"/>
        <w:pageBreakBefore w:val="0"/>
        <w:widowControl w:val="0"/>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eastAsia"/>
          <w:sz w:val="24"/>
          <w:szCs w:val="18"/>
          <w:lang w:val="en-US"/>
        </w:rPr>
      </w:pPr>
      <w:r>
        <w:rPr>
          <w:rFonts w:hint="eastAsia"/>
          <w:sz w:val="24"/>
          <w:szCs w:val="18"/>
          <w:lang w:val="en-US" w:eastAsia="zh-CN"/>
        </w:rPr>
        <w:t>2.4 On-axis spurious requirement and off</w:t>
      </w:r>
      <w:r>
        <w:rPr>
          <w:rFonts w:hint="eastAsia"/>
          <w:sz w:val="24"/>
          <w:szCs w:val="18"/>
          <w:lang w:val="en-US"/>
        </w:rPr>
        <w:t>-axis spurious requirement</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
              <w:numPr>
                <w:ilvl w:val="0"/>
                <w:numId w:val="0"/>
              </w:numPr>
              <w:overflowPunct w:val="0"/>
              <w:autoSpaceDE w:val="0"/>
              <w:autoSpaceDN w:val="0"/>
              <w:adjustRightInd w:val="0"/>
              <w:textAlignment w:val="baseline"/>
              <w:rPr>
                <w:rFonts w:eastAsia="PMingLiU"/>
                <w:sz w:val="20"/>
                <w:szCs w:val="20"/>
                <w:lang w:val="en-US" w:eastAsia="zh-TW"/>
              </w:rPr>
            </w:pPr>
            <w:r>
              <w:rPr>
                <w:sz w:val="20"/>
                <w:szCs w:val="20"/>
                <w:lang w:val="en-US"/>
              </w:rPr>
              <w:t>Issue 1-2-</w:t>
            </w:r>
            <w:r>
              <w:rPr>
                <w:rFonts w:hint="eastAsia" w:eastAsia="PMingLiU"/>
                <w:sz w:val="20"/>
                <w:szCs w:val="20"/>
                <w:lang w:val="en-US" w:eastAsia="zh-TW"/>
              </w:rPr>
              <w:t>5</w:t>
            </w:r>
            <w:r>
              <w:rPr>
                <w:sz w:val="20"/>
                <w:szCs w:val="20"/>
                <w:lang w:val="en-US"/>
              </w:rPr>
              <w:t xml:space="preserve">: </w:t>
            </w:r>
            <w:r>
              <w:rPr>
                <w:rFonts w:hint="eastAsia" w:eastAsia="PMingLiU"/>
                <w:sz w:val="20"/>
                <w:szCs w:val="20"/>
                <w:lang w:val="en-US" w:eastAsia="zh-TW"/>
              </w:rPr>
              <w:t>O</w:t>
            </w:r>
            <w:r>
              <w:rPr>
                <w:sz w:val="20"/>
                <w:szCs w:val="20"/>
                <w:lang w:val="en-US"/>
              </w:rPr>
              <w:t>n-axis spurious</w:t>
            </w:r>
            <w:r>
              <w:rPr>
                <w:rFonts w:hint="eastAsia" w:eastAsia="PMingLiU"/>
                <w:sz w:val="20"/>
                <w:szCs w:val="20"/>
                <w:lang w:val="en-US" w:eastAsia="zh-TW"/>
              </w:rPr>
              <w:t xml:space="preserve"> and off-axis </w:t>
            </w:r>
            <w:r>
              <w:rPr>
                <w:sz w:val="20"/>
                <w:szCs w:val="20"/>
                <w:lang w:val="en-US"/>
              </w:rPr>
              <w:t>spurious</w:t>
            </w:r>
            <w:r>
              <w:rPr>
                <w:rFonts w:hint="eastAsia" w:eastAsia="PMingLiU"/>
                <w:sz w:val="20"/>
                <w:szCs w:val="20"/>
                <w:lang w:val="en-US" w:eastAsia="zh-TW"/>
              </w:rPr>
              <w:t xml:space="preserve"> requirement for the CEPT Ku band</w:t>
            </w:r>
          </w:p>
          <w:p>
            <w:pPr>
              <w:pStyle w:val="34"/>
              <w:keepNext/>
              <w:numPr>
                <w:ilvl w:val="0"/>
                <w:numId w:val="10"/>
              </w:numPr>
              <w:overflowPunct/>
              <w:autoSpaceDE/>
              <w:autoSpaceDN/>
              <w:adjustRightInd/>
              <w:spacing w:after="120" w:line="259" w:lineRule="auto"/>
              <w:ind w:firstLineChars="0"/>
              <w:textAlignment w:val="auto"/>
              <w:rPr>
                <w:sz w:val="20"/>
                <w:szCs w:val="20"/>
                <w:lang w:val="en-US"/>
              </w:rPr>
            </w:pPr>
            <w:r>
              <w:rPr>
                <w:sz w:val="20"/>
                <w:szCs w:val="20"/>
                <w:lang w:val="en-US"/>
              </w:rPr>
              <w:t xml:space="preserve">For the UL band 14.0 - 14.5 GHz (E-to-S) </w:t>
            </w:r>
            <w:r>
              <w:rPr>
                <w:rFonts w:eastAsia="PMingLiU"/>
                <w:sz w:val="20"/>
                <w:szCs w:val="20"/>
                <w:lang w:eastAsia="zh-TW"/>
              </w:rPr>
              <w:t>concerning requirements from ECC regulation and ETSI standards</w:t>
            </w:r>
            <w:r>
              <w:rPr>
                <w:sz w:val="20"/>
                <w:szCs w:val="20"/>
                <w:lang w:val="en-US"/>
              </w:rPr>
              <w:t>:</w:t>
            </w:r>
            <w:r>
              <w:rPr>
                <w:rFonts w:hint="eastAsia"/>
                <w:sz w:val="20"/>
                <w:szCs w:val="20"/>
                <w:lang w:val="en-US" w:eastAsia="zh-TW"/>
              </w:rPr>
              <w:t xml:space="preserve"> </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hint="eastAsia"/>
                <w:sz w:val="20"/>
                <w:szCs w:val="20"/>
                <w:lang w:val="en-US" w:eastAsia="zh-TW"/>
              </w:rPr>
              <w:t>S</w:t>
            </w:r>
            <w:r>
              <w:rPr>
                <w:sz w:val="20"/>
                <w:szCs w:val="20"/>
                <w:lang w:val="en-US"/>
              </w:rPr>
              <w:t>pecify the same on-axis spurious limits in “Carrier-on” state for both outside and inside as specified in EN 303 980, EN 303 981</w:t>
            </w:r>
            <w:r>
              <w:rPr>
                <w:rFonts w:hint="eastAsia" w:eastAsia="PMingLiU"/>
                <w:sz w:val="20"/>
                <w:szCs w:val="20"/>
                <w:lang w:val="en-US" w:eastAsia="zh-TW"/>
              </w:rPr>
              <w:t xml:space="preserve"> as the starting point</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rFonts w:hint="eastAsia"/>
                <w:sz w:val="20"/>
                <w:szCs w:val="20"/>
                <w:lang w:val="en-US" w:eastAsia="zh-TW"/>
              </w:rPr>
              <w:t xml:space="preserve">Specify the same requirement as Ka band for the </w:t>
            </w:r>
            <w:r>
              <w:rPr>
                <w:sz w:val="20"/>
                <w:szCs w:val="20"/>
                <w:lang w:val="en-US" w:eastAsia="zh-TW"/>
              </w:rPr>
              <w:t>general and off-axis spurious limits in “Emissions disabled” state as starting point</w:t>
            </w:r>
            <w:r>
              <w:rPr>
                <w:rFonts w:hint="eastAsia"/>
                <w:sz w:val="20"/>
                <w:szCs w:val="20"/>
                <w:lang w:val="en-US" w:eastAsia="zh-TW"/>
              </w:rPr>
              <w:t>.</w:t>
            </w:r>
          </w:p>
          <w:p>
            <w:pPr>
              <w:pStyle w:val="34"/>
              <w:keepNext/>
              <w:numPr>
                <w:ilvl w:val="1"/>
                <w:numId w:val="10"/>
              </w:numPr>
              <w:overflowPunct/>
              <w:autoSpaceDE/>
              <w:autoSpaceDN/>
              <w:adjustRightInd/>
              <w:spacing w:after="120" w:line="259" w:lineRule="auto"/>
              <w:ind w:firstLineChars="0"/>
              <w:textAlignment w:val="auto"/>
              <w:rPr>
                <w:sz w:val="20"/>
                <w:szCs w:val="20"/>
                <w:lang w:val="en-US"/>
              </w:rPr>
            </w:pPr>
            <w:r>
              <w:rPr>
                <w:sz w:val="20"/>
                <w:szCs w:val="20"/>
                <w:lang w:val="en-US"/>
              </w:rPr>
              <w:t>FFS on off-axis spurious limits</w:t>
            </w:r>
            <w:r>
              <w:rPr>
                <w:rFonts w:hint="eastAsia"/>
                <w:sz w:val="20"/>
                <w:szCs w:val="20"/>
                <w:lang w:val="en-US" w:eastAsia="zh-TW"/>
              </w:rPr>
              <w:t xml:space="preserve"> </w:t>
            </w:r>
            <w:r>
              <w:rPr>
                <w:sz w:val="20"/>
                <w:szCs w:val="20"/>
                <w:lang w:val="en-US"/>
              </w:rPr>
              <w:t>in “Carrier-on” and “Carrier-off” state</w:t>
            </w:r>
          </w:p>
          <w:p>
            <w:pPr>
              <w:pStyle w:val="34"/>
              <w:keepNext/>
              <w:numPr>
                <w:ilvl w:val="0"/>
                <w:numId w:val="0"/>
              </w:numPr>
              <w:overflowPunct/>
              <w:autoSpaceDE/>
              <w:autoSpaceDN/>
              <w:adjustRightInd/>
              <w:spacing w:after="120" w:line="259" w:lineRule="auto"/>
              <w:ind w:left="1296" w:leftChars="0"/>
              <w:textAlignment w:val="auto"/>
              <w:rPr>
                <w:rFonts w:hint="eastAsia"/>
                <w:sz w:val="20"/>
                <w:szCs w:val="20"/>
                <w:vertAlign w:val="baseline"/>
                <w:lang w:val="en-US" w:eastAsia="zh-CN"/>
              </w:rPr>
            </w:pPr>
          </w:p>
        </w:tc>
      </w:tr>
    </w:tbl>
    <w:p>
      <w:pPr>
        <w:rPr>
          <w:rFonts w:hint="default" w:eastAsia="宋体"/>
          <w:sz w:val="20"/>
          <w:szCs w:val="20"/>
          <w:lang w:val="en-US" w:eastAsia="zh-CN"/>
        </w:rPr>
      </w:pPr>
      <w:r>
        <w:rPr>
          <w:rFonts w:hint="eastAsia"/>
          <w:sz w:val="20"/>
          <w:szCs w:val="20"/>
          <w:lang w:val="en-US" w:eastAsia="zh-CN"/>
        </w:rPr>
        <w:t xml:space="preserve">In last meeting, we checked on-axis spurious and off-axis spurious requirement in </w:t>
      </w:r>
      <w:r>
        <w:rPr>
          <w:rFonts w:hint="eastAsia" w:eastAsia="PMingLiU"/>
          <w:sz w:val="20"/>
          <w:szCs w:val="20"/>
          <w:lang w:eastAsia="zh-TW"/>
        </w:rPr>
        <w:t>EN 303 980, EN 303 981 and EN 302 977</w:t>
      </w:r>
      <w:r>
        <w:rPr>
          <w:rFonts w:hint="eastAsia" w:eastAsia="宋体"/>
          <w:sz w:val="20"/>
          <w:szCs w:val="20"/>
          <w:lang w:val="en-US" w:eastAsia="zh-CN"/>
        </w:rPr>
        <w:t xml:space="preserve"> for Ku band. Based on </w:t>
      </w:r>
      <w:r>
        <w:rPr>
          <w:rFonts w:hint="eastAsia"/>
          <w:sz w:val="20"/>
          <w:szCs w:val="20"/>
          <w:lang w:val="en-US" w:eastAsia="zh-CN"/>
        </w:rPr>
        <w:t xml:space="preserve">the following picture cited in [3], it can be found that </w:t>
      </w:r>
      <w:r>
        <w:rPr>
          <w:rFonts w:hint="eastAsia" w:eastAsia="PMingLiU"/>
          <w:sz w:val="20"/>
          <w:szCs w:val="20"/>
          <w:lang w:eastAsia="zh-TW"/>
        </w:rPr>
        <w:t>EN 303 980</w:t>
      </w:r>
      <w:r>
        <w:rPr>
          <w:rFonts w:hint="eastAsia" w:eastAsia="宋体"/>
          <w:sz w:val="20"/>
          <w:szCs w:val="20"/>
          <w:lang w:val="en-US" w:eastAsia="zh-CN"/>
        </w:rPr>
        <w:t xml:space="preserve"> and</w:t>
      </w:r>
      <w:r>
        <w:rPr>
          <w:rFonts w:hint="eastAsia" w:eastAsia="PMingLiU"/>
          <w:sz w:val="20"/>
          <w:szCs w:val="20"/>
          <w:lang w:eastAsia="zh-TW"/>
        </w:rPr>
        <w:t xml:space="preserve"> EN 303 981</w:t>
      </w:r>
      <w:r>
        <w:rPr>
          <w:rFonts w:hint="eastAsia" w:eastAsia="宋体"/>
          <w:sz w:val="20"/>
          <w:szCs w:val="20"/>
          <w:lang w:val="en-US" w:eastAsia="zh-CN"/>
        </w:rPr>
        <w:t xml:space="preserve"> apply for mobile VSAT with NGSO, and E</w:t>
      </w:r>
      <w:r>
        <w:rPr>
          <w:rFonts w:hint="eastAsia" w:eastAsia="PMingLiU"/>
          <w:sz w:val="20"/>
          <w:szCs w:val="20"/>
          <w:lang w:eastAsia="zh-TW"/>
        </w:rPr>
        <w:t>N 302 977</w:t>
      </w:r>
      <w:r>
        <w:rPr>
          <w:rFonts w:hint="eastAsia" w:eastAsia="宋体"/>
          <w:sz w:val="20"/>
          <w:szCs w:val="20"/>
          <w:lang w:val="en-US" w:eastAsia="zh-CN"/>
        </w:rPr>
        <w:t xml:space="preserve"> is applied for mobile VSAT with GSO</w:t>
      </w:r>
      <w:r>
        <w:rPr>
          <w:rFonts w:hint="eastAsia"/>
          <w:sz w:val="20"/>
          <w:szCs w:val="20"/>
          <w:lang w:val="en-US" w:eastAsia="zh-CN"/>
        </w:rPr>
        <w:t>.</w:t>
      </w:r>
    </w:p>
    <w:p>
      <w:pPr>
        <w:rPr>
          <w:rFonts w:hint="eastAsia"/>
          <w:lang w:val="en-US" w:eastAsia="zh-CN"/>
        </w:rPr>
      </w:pPr>
      <w:r>
        <w:drawing>
          <wp:inline distT="0" distB="0" distL="0" distR="0">
            <wp:extent cx="6264275" cy="2560955"/>
            <wp:effectExtent l="0" t="0" r="0" b="14605"/>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pic:cNvPicPr>
                  </pic:nvPicPr>
                  <pic:blipFill>
                    <a:blip r:embed="rId17"/>
                    <a:stretch>
                      <a:fillRect/>
                    </a:stretch>
                  </pic:blipFill>
                  <pic:spPr>
                    <a:xfrm>
                      <a:off x="0" y="0"/>
                      <a:ext cx="6264275" cy="2560955"/>
                    </a:xfrm>
                    <a:prstGeom prst="rect">
                      <a:avLst/>
                    </a:prstGeom>
                  </pic:spPr>
                </pic:pic>
              </a:graphicData>
            </a:graphic>
          </wp:inline>
        </w:drawing>
      </w:r>
    </w:p>
    <w:p>
      <w:pPr>
        <w:bidi w:val="0"/>
        <w:jc w:val="both"/>
        <w:rPr>
          <w:rFonts w:hint="eastAsia"/>
          <w:b/>
          <w:bCs/>
          <w:lang w:val="en-US" w:eastAsia="zh-CN"/>
        </w:rPr>
      </w:pPr>
      <w:r>
        <w:rPr>
          <w:rFonts w:hint="eastAsia"/>
          <w:b/>
          <w:bCs/>
          <w:lang w:val="en-US" w:eastAsia="zh-CN"/>
        </w:rPr>
        <w:t xml:space="preserve">On-axis spurious requirement in </w:t>
      </w:r>
      <w:r>
        <w:rPr>
          <w:rFonts w:hint="default"/>
          <w:b/>
          <w:bCs/>
          <w:lang w:val="en-US" w:eastAsia="zh-CN"/>
        </w:rPr>
        <w:t>“</w:t>
      </w:r>
      <w:r>
        <w:rPr>
          <w:rFonts w:hint="eastAsia"/>
          <w:b/>
          <w:bCs/>
          <w:lang w:val="en-US" w:eastAsia="zh-CN"/>
        </w:rPr>
        <w:t>Carrier-on</w:t>
      </w:r>
      <w:r>
        <w:rPr>
          <w:rFonts w:hint="default"/>
          <w:b/>
          <w:bCs/>
          <w:lang w:val="en-US" w:eastAsia="zh-CN"/>
        </w:rPr>
        <w:t>”</w:t>
      </w:r>
      <w:r>
        <w:rPr>
          <w:rFonts w:hint="eastAsia"/>
          <w:b/>
          <w:bCs/>
          <w:lang w:val="en-US" w:eastAsia="zh-CN"/>
        </w:rPr>
        <w:t xml:space="preserve"> state</w:t>
      </w:r>
    </w:p>
    <w:p>
      <w:pPr>
        <w:bidi w:val="0"/>
        <w:jc w:val="both"/>
        <w:rPr>
          <w:rFonts w:hint="eastAsia"/>
          <w:b/>
          <w:bCs/>
          <w:lang w:val="en-US" w:eastAsia="zh-CN"/>
        </w:rPr>
      </w:pPr>
      <w:r>
        <w:rPr>
          <w:rFonts w:hint="eastAsia"/>
          <w:b/>
          <w:bCs/>
          <w:lang w:val="en-US" w:eastAsia="zh-CN"/>
        </w:rPr>
        <w:t>EN 302 977</w:t>
      </w:r>
    </w:p>
    <w:p>
      <w:pPr>
        <w:bidi w:val="0"/>
        <w:jc w:val="center"/>
        <w:rPr>
          <w:sz w:val="20"/>
          <w:szCs w:val="20"/>
        </w:rPr>
      </w:pPr>
      <w:r>
        <w:rPr>
          <w:sz w:val="20"/>
          <w:szCs w:val="20"/>
        </w:rPr>
        <w:drawing>
          <wp:inline distT="0" distB="0" distL="114300" distR="114300">
            <wp:extent cx="4544060" cy="831850"/>
            <wp:effectExtent l="116840" t="86360" r="337820" b="31623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8"/>
                    <a:stretch>
                      <a:fillRect/>
                    </a:stretch>
                  </pic:blipFill>
                  <pic:spPr>
                    <a:xfrm>
                      <a:off x="0" y="0"/>
                      <a:ext cx="4544060" cy="83185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default"/>
          <w:b/>
          <w:bCs/>
          <w:lang w:val="en-US" w:eastAsia="zh-CN"/>
        </w:rPr>
      </w:pPr>
      <w:r>
        <w:rPr>
          <w:rFonts w:hint="eastAsia"/>
          <w:b/>
          <w:bCs/>
          <w:lang w:val="en-US" w:eastAsia="zh-CN"/>
        </w:rPr>
        <w:t>EN 303 980, EN 303 981</w:t>
      </w:r>
    </w:p>
    <w:p>
      <w:pPr>
        <w:bidi w:val="0"/>
        <w:jc w:val="center"/>
        <w:rPr>
          <w:color w:val="0000FF"/>
        </w:rPr>
      </w:pPr>
      <w:r>
        <w:rPr>
          <w:color w:val="0000FF"/>
        </w:rPr>
        <w:drawing>
          <wp:inline distT="0" distB="0" distL="114300" distR="114300">
            <wp:extent cx="4686300" cy="274320"/>
            <wp:effectExtent l="116840" t="85725" r="332740" b="32575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9"/>
                    <a:srcRect b="52409"/>
                    <a:stretch>
                      <a:fillRect/>
                    </a:stretch>
                  </pic:blipFill>
                  <pic:spPr>
                    <a:xfrm>
                      <a:off x="0" y="0"/>
                      <a:ext cx="4686300" cy="27432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eastAsia"/>
          <w:sz w:val="20"/>
          <w:szCs w:val="20"/>
          <w:lang w:val="en-US" w:eastAsia="zh-CN"/>
        </w:rPr>
      </w:pPr>
      <w:r>
        <w:rPr>
          <w:rFonts w:hint="eastAsia"/>
          <w:sz w:val="20"/>
          <w:szCs w:val="20"/>
          <w:lang w:val="en-US" w:eastAsia="zh-CN"/>
        </w:rPr>
        <w:t xml:space="preserve">For on-axis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state, EN 302 977 gives different requirements for outside and inside with dBW in any 100 kHz for Ku band in UL 14.0–14.5 GHz. However, EN 303 980 and EN 303 981 define the same requirement for both outside and inside as 44-K dBm/MHz. </w:t>
      </w:r>
    </w:p>
    <w:p>
      <w:pPr>
        <w:bidi w:val="0"/>
        <w:jc w:val="both"/>
        <w:rPr>
          <w:rFonts w:hint="eastAsia"/>
          <w:sz w:val="20"/>
          <w:szCs w:val="20"/>
          <w:lang w:val="en-US" w:eastAsia="zh-CN"/>
        </w:rPr>
      </w:pPr>
      <w:r>
        <w:rPr>
          <w:rFonts w:hint="eastAsia"/>
          <w:b/>
          <w:bCs/>
          <w:sz w:val="20"/>
          <w:szCs w:val="20"/>
          <w:lang w:val="en-US" w:eastAsia="zh-CN"/>
        </w:rPr>
        <w:t>Observation 3: For on-axis spurious limits in “Carrier-on” state, EN 302 977 gives different requirements for outside and inside with dBW in any 100 kHz for Ku band in UL 14.0–14.5 GHz.</w:t>
      </w:r>
    </w:p>
    <w:p>
      <w:pPr>
        <w:bidi w:val="0"/>
        <w:jc w:val="both"/>
        <w:rPr>
          <w:rFonts w:hint="eastAsia"/>
          <w:b/>
          <w:bCs/>
          <w:sz w:val="20"/>
          <w:szCs w:val="20"/>
          <w:lang w:val="en-US" w:eastAsia="zh-CN"/>
        </w:rPr>
      </w:pPr>
      <w:r>
        <w:rPr>
          <w:rFonts w:hint="eastAsia"/>
          <w:b/>
          <w:bCs/>
          <w:sz w:val="20"/>
          <w:szCs w:val="20"/>
          <w:lang w:val="en-US" w:eastAsia="zh-CN"/>
        </w:rPr>
        <w:t xml:space="preserve">Proposal 3: </w:t>
      </w:r>
      <w:r>
        <w:rPr>
          <w:rFonts w:hint="eastAsia"/>
          <w:b/>
          <w:bCs/>
          <w:sz w:val="20"/>
          <w:szCs w:val="18"/>
          <w:lang w:val="en-US" w:eastAsia="zh-CN"/>
        </w:rPr>
        <w:t>It is proposed to use</w:t>
      </w:r>
      <w:r>
        <w:rPr>
          <w:rFonts w:hint="eastAsia"/>
          <w:b/>
          <w:bCs/>
          <w:sz w:val="20"/>
          <w:szCs w:val="20"/>
          <w:lang w:val="en-US" w:eastAsia="zh-CN"/>
        </w:rPr>
        <w:t xml:space="preserve"> </w:t>
      </w:r>
      <w:r>
        <w:rPr>
          <w:rFonts w:hint="eastAsia"/>
          <w:b/>
          <w:bCs/>
          <w:sz w:val="20"/>
          <w:szCs w:val="18"/>
          <w:lang w:val="en-US" w:eastAsia="zh-CN"/>
        </w:rPr>
        <w:t>on-axis spurious limits in “Carrier-on” state in EN 302 977 as a starting point for mobile VSAT with GSO for Ku band</w:t>
      </w:r>
      <w:r>
        <w:rPr>
          <w:rFonts w:hint="eastAsia"/>
          <w:b/>
          <w:bCs/>
          <w:sz w:val="20"/>
          <w:szCs w:val="20"/>
          <w:lang w:val="en-US" w:eastAsia="zh-CN"/>
        </w:rPr>
        <w:t>.</w:t>
      </w:r>
    </w:p>
    <w:p>
      <w:pPr>
        <w:bidi w:val="0"/>
        <w:jc w:val="both"/>
        <w:rPr>
          <w:rFonts w:hint="eastAsia"/>
          <w:b/>
          <w:bCs/>
          <w:sz w:val="20"/>
          <w:szCs w:val="18"/>
          <w:lang w:val="en-US" w:eastAsia="zh-CN"/>
        </w:rPr>
      </w:pPr>
      <w:r>
        <w:rPr>
          <w:rFonts w:hint="eastAsia"/>
          <w:b/>
          <w:bCs/>
          <w:sz w:val="20"/>
          <w:szCs w:val="18"/>
          <w:lang w:val="en-US" w:eastAsia="zh-CN"/>
        </w:rPr>
        <w:t>Proposal 4: It is proposed to specify the same on-axis spurious limits in “Carrier-on” state for both outside and inside as specified in EN 303 980, EN 303 981 for mobile VSAT with NGSO for Ku band.</w:t>
      </w:r>
    </w:p>
    <w:p>
      <w:pPr>
        <w:bidi w:val="0"/>
        <w:jc w:val="both"/>
        <w:rPr>
          <w:rFonts w:hint="eastAsia"/>
          <w:b/>
          <w:bCs/>
          <w:sz w:val="20"/>
          <w:szCs w:val="20"/>
          <w:lang w:val="en-US" w:eastAsia="zh-CN"/>
        </w:rPr>
      </w:pPr>
    </w:p>
    <w:p>
      <w:pPr>
        <w:bidi w:val="0"/>
        <w:jc w:val="both"/>
        <w:rPr>
          <w:rFonts w:hint="eastAsia"/>
          <w:b/>
          <w:bCs/>
          <w:sz w:val="20"/>
          <w:szCs w:val="20"/>
          <w:lang w:val="en-US" w:eastAsia="zh-CN"/>
        </w:rPr>
      </w:pPr>
      <w:r>
        <w:rPr>
          <w:rFonts w:hint="eastAsia"/>
          <w:b/>
          <w:bCs/>
          <w:lang w:val="en-US" w:eastAsia="zh-CN"/>
        </w:rPr>
        <w:t>Off-axis spurious requirement</w:t>
      </w:r>
    </w:p>
    <w:p>
      <w:pPr>
        <w:bidi w:val="0"/>
        <w:jc w:val="both"/>
        <w:rPr>
          <w:rFonts w:hint="eastAsia"/>
          <w:sz w:val="20"/>
          <w:szCs w:val="20"/>
          <w:lang w:val="en-US" w:eastAsia="zh-CN"/>
        </w:rPr>
      </w:pPr>
      <w:r>
        <w:rPr>
          <w:rFonts w:hint="eastAsia"/>
          <w:sz w:val="20"/>
          <w:szCs w:val="20"/>
          <w:lang w:val="en-US" w:eastAsia="zh-CN"/>
        </w:rPr>
        <w:t>For radiated field strength limits at 10m from the NTN VSAT, the requirements specified in EN 303 980, EN 303 981 and EN 302 977 for Ku band in UL 14.0–14.5 GHz is same as Ka band in TS 38.101-5.</w:t>
      </w:r>
    </w:p>
    <w:p>
      <w:pPr>
        <w:bidi w:val="0"/>
        <w:jc w:val="center"/>
        <w:rPr>
          <w:rFonts w:hint="default"/>
          <w:sz w:val="20"/>
          <w:szCs w:val="20"/>
          <w:lang w:val="en-US" w:eastAsia="zh-CN"/>
        </w:rPr>
      </w:pPr>
      <w:r>
        <w:drawing>
          <wp:inline distT="0" distB="0" distL="114300" distR="114300">
            <wp:extent cx="3242310" cy="748030"/>
            <wp:effectExtent l="116840" t="86360" r="344170" b="32385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0"/>
                    <a:stretch>
                      <a:fillRect/>
                    </a:stretch>
                  </pic:blipFill>
                  <pic:spPr>
                    <a:xfrm>
                      <a:off x="0" y="0"/>
                      <a:ext cx="3242310" cy="74803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eastAsia"/>
          <w:sz w:val="20"/>
          <w:szCs w:val="20"/>
          <w:lang w:val="en-US" w:eastAsia="zh-CN"/>
        </w:rPr>
      </w:pPr>
      <w:r>
        <w:rPr>
          <w:rFonts w:hint="eastAsia"/>
          <w:sz w:val="20"/>
          <w:szCs w:val="20"/>
          <w:lang w:val="en-US" w:eastAsia="zh-CN"/>
        </w:rPr>
        <w:t xml:space="preserve">For off-axis spurious limits in </w:t>
      </w:r>
      <w:r>
        <w:rPr>
          <w:rFonts w:hint="default"/>
          <w:sz w:val="20"/>
          <w:szCs w:val="20"/>
          <w:lang w:val="en-US" w:eastAsia="zh-CN"/>
        </w:rPr>
        <w:t>“</w:t>
      </w:r>
      <w:r>
        <w:rPr>
          <w:rFonts w:hint="eastAsia"/>
          <w:sz w:val="20"/>
          <w:szCs w:val="20"/>
          <w:lang w:val="en-US" w:eastAsia="zh-CN"/>
        </w:rPr>
        <w:t>Emissions disabled</w:t>
      </w:r>
      <w:r>
        <w:rPr>
          <w:rFonts w:hint="default"/>
          <w:sz w:val="20"/>
          <w:szCs w:val="20"/>
          <w:lang w:val="en-US" w:eastAsia="zh-CN"/>
        </w:rPr>
        <w:t>”</w:t>
      </w:r>
      <w:r>
        <w:rPr>
          <w:rFonts w:hint="eastAsia"/>
          <w:sz w:val="20"/>
          <w:szCs w:val="20"/>
          <w:lang w:val="en-US" w:eastAsia="zh-CN"/>
        </w:rPr>
        <w:t xml:space="preserve"> state, the requirements specified in EN 303 980, EN 303 981 and EN 302 977 for Ku band in UL 14.0–14.5 GHz are also same as Ka band in TS 38.101-5.</w:t>
      </w:r>
    </w:p>
    <w:p>
      <w:pPr>
        <w:bidi w:val="0"/>
        <w:jc w:val="center"/>
      </w:pPr>
      <w:r>
        <w:drawing>
          <wp:inline distT="0" distB="0" distL="114300" distR="114300">
            <wp:extent cx="3771900" cy="843280"/>
            <wp:effectExtent l="101600" t="71120" r="332740" b="33528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21"/>
                    <a:stretch>
                      <a:fillRect/>
                    </a:stretch>
                  </pic:blipFill>
                  <pic:spPr>
                    <a:xfrm>
                      <a:off x="0" y="0"/>
                      <a:ext cx="3771900" cy="84328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default"/>
          <w:b/>
          <w:bCs/>
          <w:sz w:val="20"/>
          <w:szCs w:val="20"/>
          <w:lang w:val="en-US" w:eastAsia="zh-CN"/>
        </w:rPr>
      </w:pPr>
      <w:r>
        <w:rPr>
          <w:rFonts w:hint="eastAsia"/>
          <w:b/>
          <w:bCs/>
          <w:sz w:val="20"/>
          <w:szCs w:val="20"/>
          <w:lang w:val="en-US" w:eastAsia="zh-CN"/>
        </w:rPr>
        <w:t>Observation 4: For the general and off-axis spurious limits in “Emissions disabled” state, the requirements specified in EN 303 980, EN 303 981 and EN 302 977 for Ku band are same for mobile VSAT with GSO and NGSO for Ku band.</w:t>
      </w:r>
    </w:p>
    <w:p>
      <w:pPr>
        <w:bidi w:val="0"/>
        <w:jc w:val="both"/>
        <w:rPr>
          <w:rFonts w:hint="eastAsia"/>
          <w:sz w:val="20"/>
          <w:szCs w:val="20"/>
          <w:lang w:val="en-US" w:eastAsia="zh-CN"/>
        </w:rPr>
      </w:pPr>
      <w:r>
        <w:rPr>
          <w:rFonts w:hint="eastAsia"/>
          <w:sz w:val="20"/>
          <w:szCs w:val="20"/>
          <w:lang w:val="en-US" w:eastAsia="zh-CN"/>
        </w:rPr>
        <w:t xml:space="preserve">For off-axis spurious limits in </w:t>
      </w:r>
      <w:r>
        <w:rPr>
          <w:rFonts w:hint="default"/>
          <w:sz w:val="20"/>
          <w:szCs w:val="20"/>
          <w:lang w:val="en-US" w:eastAsia="zh-CN"/>
        </w:rPr>
        <w:t>“</w:t>
      </w:r>
      <w:r>
        <w:rPr>
          <w:rFonts w:hint="eastAsia"/>
          <w:sz w:val="20"/>
          <w:szCs w:val="20"/>
          <w:lang w:val="en-US" w:eastAsia="zh-CN"/>
        </w:rPr>
        <w:t>Carrier-on</w:t>
      </w:r>
      <w:r>
        <w:rPr>
          <w:rFonts w:hint="default"/>
          <w:sz w:val="20"/>
          <w:szCs w:val="20"/>
          <w:lang w:val="en-US" w:eastAsia="zh-CN"/>
        </w:rPr>
        <w:t>”</w:t>
      </w:r>
      <w:r>
        <w:rPr>
          <w:rFonts w:hint="eastAsia"/>
          <w:sz w:val="20"/>
          <w:szCs w:val="20"/>
          <w:lang w:val="en-US" w:eastAsia="zh-CN"/>
        </w:rPr>
        <w:t xml:space="preserve"> and </w:t>
      </w:r>
      <w:r>
        <w:rPr>
          <w:rFonts w:hint="default"/>
          <w:sz w:val="20"/>
          <w:szCs w:val="20"/>
          <w:lang w:val="en-US" w:eastAsia="zh-CN"/>
        </w:rPr>
        <w:t>“</w:t>
      </w:r>
      <w:r>
        <w:rPr>
          <w:rFonts w:hint="eastAsia"/>
          <w:sz w:val="20"/>
          <w:szCs w:val="20"/>
          <w:lang w:val="en-US" w:eastAsia="zh-CN"/>
        </w:rPr>
        <w:t>Carrier-off</w:t>
      </w:r>
      <w:r>
        <w:rPr>
          <w:rFonts w:hint="default"/>
          <w:sz w:val="20"/>
          <w:szCs w:val="20"/>
          <w:lang w:val="en-US" w:eastAsia="zh-CN"/>
        </w:rPr>
        <w:t>”</w:t>
      </w:r>
      <w:r>
        <w:rPr>
          <w:rFonts w:hint="eastAsia"/>
          <w:sz w:val="20"/>
          <w:szCs w:val="20"/>
          <w:lang w:val="en-US" w:eastAsia="zh-CN"/>
        </w:rPr>
        <w:t xml:space="preserve"> state, EN 303 980, EN 303 981 and EN 302 977 define a little different requirements for Ku band in UL 14.0–14.5 GHz.</w:t>
      </w:r>
    </w:p>
    <w:p>
      <w:pPr>
        <w:bidi w:val="0"/>
        <w:jc w:val="both"/>
        <w:rPr>
          <w:rFonts w:hint="eastAsia"/>
          <w:b/>
          <w:bCs/>
          <w:sz w:val="20"/>
          <w:szCs w:val="20"/>
          <w:lang w:val="en-US" w:eastAsia="zh-CN"/>
        </w:rPr>
      </w:pPr>
      <w:r>
        <w:rPr>
          <w:rFonts w:hint="eastAsia"/>
          <w:b/>
          <w:bCs/>
          <w:sz w:val="20"/>
          <w:szCs w:val="20"/>
          <w:lang w:val="en-US" w:eastAsia="zh-CN"/>
        </w:rPr>
        <w:t>EN 303 980, EN 303 981</w:t>
      </w:r>
    </w:p>
    <w:p>
      <w:pPr>
        <w:bidi w:val="0"/>
        <w:jc w:val="center"/>
        <w:rPr>
          <w:rFonts w:hint="default"/>
          <w:sz w:val="20"/>
          <w:szCs w:val="20"/>
          <w:lang w:val="en-US" w:eastAsia="zh-CN"/>
        </w:rPr>
      </w:pPr>
      <w:r>
        <w:drawing>
          <wp:inline distT="0" distB="0" distL="114300" distR="114300">
            <wp:extent cx="3856355" cy="2796540"/>
            <wp:effectExtent l="116840" t="86360" r="339725" b="317500"/>
            <wp:docPr id="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pic:cNvPicPr>
                      <a:picLocks noChangeAspect="1"/>
                    </pic:cNvPicPr>
                  </pic:nvPicPr>
                  <pic:blipFill>
                    <a:blip r:embed="rId22"/>
                    <a:stretch>
                      <a:fillRect/>
                    </a:stretch>
                  </pic:blipFill>
                  <pic:spPr>
                    <a:xfrm>
                      <a:off x="0" y="0"/>
                      <a:ext cx="3856355" cy="279654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EN 302 977</w:t>
      </w:r>
    </w:p>
    <w:p>
      <w:pPr>
        <w:bidi w:val="0"/>
        <w:jc w:val="center"/>
        <w:rPr>
          <w:rFonts w:hint="default"/>
          <w:b/>
          <w:bCs/>
          <w:sz w:val="20"/>
          <w:szCs w:val="20"/>
          <w:lang w:val="en-US" w:eastAsia="zh-CN"/>
        </w:rPr>
      </w:pPr>
      <w:r>
        <w:drawing>
          <wp:inline distT="0" distB="0" distL="114300" distR="114300">
            <wp:extent cx="4462145" cy="2077720"/>
            <wp:effectExtent l="116840" t="86360" r="343535" b="32004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23"/>
                    <a:stretch>
                      <a:fillRect/>
                    </a:stretch>
                  </pic:blipFill>
                  <pic:spPr>
                    <a:xfrm>
                      <a:off x="0" y="0"/>
                      <a:ext cx="4462145" cy="207772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 xml:space="preserve">Proposal 5: </w:t>
      </w:r>
      <w:r>
        <w:rPr>
          <w:rFonts w:hint="eastAsia"/>
          <w:b/>
          <w:bCs/>
          <w:sz w:val="20"/>
          <w:szCs w:val="18"/>
          <w:lang w:val="en-US" w:eastAsia="zh-CN"/>
        </w:rPr>
        <w:t>It is proposed to use</w:t>
      </w:r>
      <w:r>
        <w:rPr>
          <w:rFonts w:hint="eastAsia"/>
          <w:b/>
          <w:bCs/>
          <w:sz w:val="20"/>
          <w:szCs w:val="20"/>
          <w:lang w:val="en-US" w:eastAsia="zh-CN"/>
        </w:rPr>
        <w:t xml:space="preserve"> </w:t>
      </w:r>
      <w:r>
        <w:rPr>
          <w:rFonts w:hint="eastAsia"/>
          <w:b/>
          <w:bCs/>
          <w:sz w:val="20"/>
          <w:szCs w:val="18"/>
          <w:lang w:val="en-US" w:eastAsia="zh-CN"/>
        </w:rPr>
        <w:t>off-axis spurious limits in “Carrier-on” and “Carrier-off” state in EN 302 977 as a starting point for mobile VSAT with GSO for Ku band</w:t>
      </w:r>
      <w:r>
        <w:rPr>
          <w:rFonts w:hint="eastAsia"/>
          <w:b/>
          <w:bCs/>
          <w:sz w:val="20"/>
          <w:szCs w:val="20"/>
          <w:lang w:val="en-US" w:eastAsia="zh-CN"/>
        </w:rPr>
        <w:t>.</w:t>
      </w:r>
    </w:p>
    <w:p>
      <w:pPr>
        <w:bidi w:val="0"/>
        <w:jc w:val="both"/>
        <w:rPr>
          <w:rFonts w:hint="eastAsia"/>
          <w:b/>
          <w:bCs/>
          <w:sz w:val="20"/>
          <w:szCs w:val="18"/>
          <w:lang w:val="en-US" w:eastAsia="zh-CN"/>
        </w:rPr>
      </w:pPr>
      <w:r>
        <w:rPr>
          <w:rFonts w:hint="eastAsia"/>
          <w:b/>
          <w:bCs/>
          <w:sz w:val="20"/>
          <w:szCs w:val="18"/>
          <w:lang w:val="en-US" w:eastAsia="zh-CN"/>
        </w:rPr>
        <w:t>Proposal 6: It is proposed to use off-axis spurious limits in “Carrier-on” and “Carrier-off” state specified in EN 303 980, EN 303 981 as a starting point for mobile VSAT with NGSO for Ku band.</w:t>
      </w:r>
    </w:p>
    <w:p>
      <w:pPr>
        <w:bidi w:val="0"/>
        <w:jc w:val="both"/>
        <w:rPr>
          <w:rFonts w:hint="eastAsia"/>
          <w:b/>
          <w:bCs/>
          <w:sz w:val="20"/>
          <w:szCs w:val="18"/>
          <w:lang w:val="en-US" w:eastAsia="zh-CN"/>
        </w:rPr>
      </w:pPr>
    </w:p>
    <w:p>
      <w:pPr>
        <w:pStyle w:val="3"/>
        <w:keepNext/>
        <w:keepLines/>
        <w:pageBreakBefore w:val="0"/>
        <w:widowControl/>
        <w:numPr>
          <w:ilvl w:val="1"/>
          <w:numId w:val="0"/>
        </w:numPr>
        <w:kinsoku/>
        <w:wordWrap/>
        <w:overflowPunct/>
        <w:topLinePunct w:val="0"/>
        <w:autoSpaceDE/>
        <w:autoSpaceDN/>
        <w:bidi w:val="0"/>
        <w:adjustRightInd/>
        <w:snapToGrid/>
        <w:spacing w:before="0" w:beforeLines="0" w:after="120" w:afterLines="0" w:line="260" w:lineRule="auto"/>
        <w:ind w:leftChars="0" w:right="0" w:rightChars="0"/>
        <w:textAlignment w:val="auto"/>
        <w:rPr>
          <w:rFonts w:hint="default"/>
          <w:sz w:val="24"/>
          <w:szCs w:val="18"/>
          <w:lang w:val="en-US" w:eastAsia="zh-CN"/>
        </w:rPr>
      </w:pPr>
      <w:r>
        <w:rPr>
          <w:rFonts w:hint="eastAsia"/>
          <w:sz w:val="24"/>
          <w:szCs w:val="18"/>
          <w:lang w:val="en-US" w:eastAsia="zh-CN"/>
        </w:rPr>
        <w:t>2.5 Receiver antenna off-axis performance</w:t>
      </w:r>
    </w:p>
    <w:p>
      <w:pPr>
        <w:bidi w:val="0"/>
        <w:jc w:val="both"/>
        <w:rPr>
          <w:rFonts w:hint="default"/>
          <w:b w:val="0"/>
          <w:bCs w:val="0"/>
          <w:sz w:val="20"/>
          <w:szCs w:val="18"/>
          <w:lang w:val="en-US" w:eastAsia="zh-CN"/>
        </w:rPr>
      </w:pPr>
      <w:r>
        <w:rPr>
          <w:rFonts w:hint="eastAsia"/>
          <w:b w:val="0"/>
          <w:bCs w:val="0"/>
          <w:sz w:val="20"/>
          <w:szCs w:val="18"/>
          <w:lang w:val="en-US" w:eastAsia="zh-CN"/>
        </w:rPr>
        <w:t xml:space="preserve">For receiver antenna off-axis performance, EN 302 340, EN 303 980, EN 303 981 and EN 302 977 specify different requirements for different VSATs. </w:t>
      </w:r>
      <w:r>
        <w:rPr>
          <w:rFonts w:hint="eastAsia" w:eastAsia="PMingLiU"/>
          <w:sz w:val="20"/>
          <w:szCs w:val="20"/>
          <w:lang w:eastAsia="zh-TW"/>
        </w:rPr>
        <w:t>EN 303 980</w:t>
      </w:r>
      <w:r>
        <w:rPr>
          <w:rFonts w:hint="eastAsia" w:eastAsia="宋体"/>
          <w:sz w:val="20"/>
          <w:szCs w:val="20"/>
          <w:lang w:val="en-US" w:eastAsia="zh-CN"/>
        </w:rPr>
        <w:t xml:space="preserve"> and</w:t>
      </w:r>
      <w:r>
        <w:rPr>
          <w:rFonts w:hint="eastAsia" w:eastAsia="PMingLiU"/>
          <w:sz w:val="20"/>
          <w:szCs w:val="20"/>
          <w:lang w:eastAsia="zh-TW"/>
        </w:rPr>
        <w:t xml:space="preserve"> EN 303 981</w:t>
      </w:r>
      <w:r>
        <w:rPr>
          <w:rFonts w:hint="eastAsia" w:eastAsia="宋体"/>
          <w:sz w:val="20"/>
          <w:szCs w:val="20"/>
          <w:lang w:val="en-US" w:eastAsia="zh-CN"/>
        </w:rPr>
        <w:t xml:space="preserve"> apply for mobile VSAT with NGSO</w:t>
      </w:r>
      <w:r>
        <w:rPr>
          <w:rFonts w:hint="eastAsia"/>
          <w:sz w:val="20"/>
          <w:szCs w:val="20"/>
          <w:lang w:val="en-US" w:eastAsia="zh-CN"/>
        </w:rPr>
        <w:t>, while</w:t>
      </w:r>
      <w:r>
        <w:rPr>
          <w:rFonts w:hint="eastAsia" w:eastAsia="宋体"/>
          <w:sz w:val="20"/>
          <w:szCs w:val="20"/>
          <w:lang w:val="en-US" w:eastAsia="zh-CN"/>
        </w:rPr>
        <w:t xml:space="preserve"> E</w:t>
      </w:r>
      <w:r>
        <w:rPr>
          <w:rFonts w:hint="eastAsia" w:eastAsia="PMingLiU"/>
          <w:sz w:val="20"/>
          <w:szCs w:val="20"/>
          <w:lang w:eastAsia="zh-TW"/>
        </w:rPr>
        <w:t>N 302 977</w:t>
      </w:r>
      <w:r>
        <w:rPr>
          <w:rFonts w:hint="eastAsia" w:eastAsia="宋体"/>
          <w:sz w:val="20"/>
          <w:szCs w:val="20"/>
          <w:lang w:val="en-US" w:eastAsia="zh-CN"/>
        </w:rPr>
        <w:t xml:space="preserve"> </w:t>
      </w:r>
      <w:r>
        <w:rPr>
          <w:rFonts w:hint="eastAsia"/>
          <w:sz w:val="20"/>
          <w:szCs w:val="20"/>
          <w:lang w:val="en-US" w:eastAsia="zh-CN"/>
        </w:rPr>
        <w:t>and EN 302 340 are</w:t>
      </w:r>
      <w:r>
        <w:rPr>
          <w:rFonts w:hint="eastAsia" w:eastAsia="宋体"/>
          <w:sz w:val="20"/>
          <w:szCs w:val="20"/>
          <w:lang w:val="en-US" w:eastAsia="zh-CN"/>
        </w:rPr>
        <w:t xml:space="preserve"> applied for mobile VSAT with GSO</w:t>
      </w:r>
      <w:r>
        <w:rPr>
          <w:rFonts w:hint="eastAsia"/>
          <w:sz w:val="20"/>
          <w:szCs w:val="20"/>
          <w:lang w:val="en-US" w:eastAsia="zh-CN"/>
        </w:rPr>
        <w:t xml:space="preserve">. </w:t>
      </w:r>
      <w:r>
        <w:rPr>
          <w:rFonts w:hint="eastAsia"/>
          <w:b w:val="0"/>
          <w:bCs w:val="0"/>
          <w:sz w:val="20"/>
          <w:szCs w:val="18"/>
          <w:lang w:val="en-US" w:eastAsia="zh-CN"/>
        </w:rPr>
        <w:t>Receiver antenna off-axis performance in EN 303 977 and EN 302 340 is same as the requirement for Ka band in TS 38.101-5.</w:t>
      </w:r>
    </w:p>
    <w:p>
      <w:pPr>
        <w:bidi w:val="0"/>
        <w:jc w:val="both"/>
        <w:rPr>
          <w:rFonts w:hint="default"/>
          <w:b/>
          <w:bCs/>
          <w:sz w:val="20"/>
          <w:szCs w:val="18"/>
          <w:lang w:val="en-US" w:eastAsia="zh-CN"/>
        </w:rPr>
      </w:pPr>
      <w:r>
        <w:rPr>
          <w:rFonts w:hint="eastAsia"/>
          <w:b/>
          <w:bCs/>
          <w:sz w:val="20"/>
          <w:szCs w:val="18"/>
          <w:lang w:val="en-US" w:eastAsia="zh-CN"/>
        </w:rPr>
        <w:t>EN 303 977 and EN 302 340</w:t>
      </w:r>
    </w:p>
    <w:p>
      <w:pPr>
        <w:bidi w:val="0"/>
        <w:jc w:val="center"/>
        <w:rPr>
          <w:rFonts w:hint="eastAsia"/>
          <w:b/>
          <w:bCs/>
          <w:sz w:val="20"/>
          <w:szCs w:val="18"/>
          <w:lang w:val="en-US" w:eastAsia="zh-CN"/>
        </w:rPr>
      </w:pPr>
      <w:r>
        <w:drawing>
          <wp:inline distT="0" distB="0" distL="114300" distR="114300">
            <wp:extent cx="4870450" cy="2536825"/>
            <wp:effectExtent l="116840" t="86360" r="331470" b="31813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24"/>
                    <a:stretch>
                      <a:fillRect/>
                    </a:stretch>
                  </pic:blipFill>
                  <pic:spPr>
                    <a:xfrm>
                      <a:off x="0" y="0"/>
                      <a:ext cx="4870450" cy="2536825"/>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eastAsia"/>
          <w:b/>
          <w:bCs/>
          <w:sz w:val="20"/>
          <w:szCs w:val="20"/>
          <w:lang w:val="en-US" w:eastAsia="zh-CN"/>
        </w:rPr>
      </w:pPr>
      <w:r>
        <w:rPr>
          <w:rFonts w:hint="eastAsia"/>
          <w:b/>
          <w:bCs/>
          <w:sz w:val="20"/>
          <w:szCs w:val="20"/>
          <w:lang w:val="en-US" w:eastAsia="zh-CN"/>
        </w:rPr>
        <w:t>Observation 5: For receiver antenna off-axis performance, EN 303 977 and EN 302 340 have the same requirement as defined in TS 38.101-5 for Ka band.</w:t>
      </w:r>
    </w:p>
    <w:p>
      <w:pPr>
        <w:bidi w:val="0"/>
        <w:jc w:val="both"/>
        <w:rPr>
          <w:rFonts w:hint="eastAsia"/>
          <w:b/>
          <w:bCs/>
          <w:sz w:val="20"/>
          <w:szCs w:val="20"/>
          <w:lang w:val="en-US" w:eastAsia="zh-CN"/>
        </w:rPr>
      </w:pPr>
      <w:r>
        <w:rPr>
          <w:rFonts w:hint="eastAsia"/>
          <w:b/>
          <w:bCs/>
          <w:sz w:val="20"/>
          <w:szCs w:val="18"/>
          <w:lang w:val="en-US" w:eastAsia="zh-CN"/>
        </w:rPr>
        <w:t xml:space="preserve">Proposal 7: It is proposed to use the same requirement as </w:t>
      </w:r>
      <w:r>
        <w:rPr>
          <w:rFonts w:hint="eastAsia"/>
          <w:b/>
          <w:bCs/>
          <w:sz w:val="20"/>
          <w:szCs w:val="20"/>
          <w:lang w:val="en-US" w:eastAsia="zh-CN"/>
        </w:rPr>
        <w:t>defined in TS 38.101-5 for Ka band for mobile VSAT with GSO operating in Ku band.</w:t>
      </w:r>
    </w:p>
    <w:p>
      <w:pPr>
        <w:bidi w:val="0"/>
        <w:jc w:val="both"/>
        <w:rPr>
          <w:rFonts w:hint="default" w:eastAsia="宋体"/>
          <w:b w:val="0"/>
          <w:bCs w:val="0"/>
          <w:sz w:val="20"/>
          <w:szCs w:val="20"/>
          <w:lang w:val="en-US" w:eastAsia="zh-CN"/>
        </w:rPr>
      </w:pPr>
      <w:r>
        <w:rPr>
          <w:rFonts w:hint="eastAsia"/>
          <w:b w:val="0"/>
          <w:bCs w:val="0"/>
          <w:sz w:val="20"/>
          <w:szCs w:val="20"/>
          <w:lang w:val="en-US" w:eastAsia="zh-CN"/>
        </w:rPr>
        <w:t>For mobile VSAT with NGSO for Ku band,</w:t>
      </w:r>
      <w:r>
        <w:rPr>
          <w:rFonts w:hint="eastAsia" w:eastAsia="PMingLiU"/>
          <w:sz w:val="20"/>
          <w:szCs w:val="20"/>
          <w:lang w:eastAsia="zh-TW"/>
        </w:rPr>
        <w:t xml:space="preserve"> EN 303 981</w:t>
      </w:r>
      <w:r>
        <w:rPr>
          <w:rFonts w:hint="eastAsia" w:eastAsia="宋体"/>
          <w:sz w:val="20"/>
          <w:szCs w:val="20"/>
          <w:lang w:val="en-US" w:eastAsia="zh-CN"/>
        </w:rPr>
        <w:t xml:space="preserve"> define</w:t>
      </w:r>
      <w:r>
        <w:rPr>
          <w:rFonts w:hint="eastAsia"/>
          <w:sz w:val="20"/>
          <w:szCs w:val="20"/>
          <w:lang w:val="en-US" w:eastAsia="zh-CN"/>
        </w:rPr>
        <w:t>s</w:t>
      </w:r>
      <w:r>
        <w:rPr>
          <w:rFonts w:hint="eastAsia" w:eastAsia="宋体"/>
          <w:sz w:val="20"/>
          <w:szCs w:val="20"/>
          <w:lang w:val="en-US" w:eastAsia="zh-CN"/>
        </w:rPr>
        <w:t xml:space="preserve"> two sets of receiver antenna off-axis performance for two classes of VSAT. The difference between two classes</w:t>
      </w:r>
      <w:r>
        <w:rPr>
          <w:rFonts w:hint="eastAsia"/>
          <w:sz w:val="20"/>
          <w:szCs w:val="20"/>
          <w:lang w:val="en-US" w:eastAsia="zh-CN"/>
        </w:rPr>
        <w:t xml:space="preserve"> is that class A transmits at elevation angles of 50°or greater, relative to the horizontal plane, and class B transmits at elevation angles of 25°or greater. However, in </w:t>
      </w:r>
      <w:r>
        <w:rPr>
          <w:rFonts w:hint="eastAsia" w:eastAsia="PMingLiU"/>
          <w:sz w:val="20"/>
          <w:szCs w:val="20"/>
          <w:lang w:eastAsia="zh-TW"/>
        </w:rPr>
        <w:t>EN 303 98</w:t>
      </w:r>
      <w:r>
        <w:rPr>
          <w:rFonts w:hint="eastAsia" w:eastAsia="宋体"/>
          <w:sz w:val="20"/>
          <w:szCs w:val="20"/>
          <w:lang w:val="en-US" w:eastAsia="zh-CN"/>
        </w:rPr>
        <w:t>0, it specifies only one set requirement same as the requirement of class A in E</w:t>
      </w:r>
      <w:r>
        <w:rPr>
          <w:rFonts w:hint="eastAsia" w:eastAsia="PMingLiU"/>
          <w:sz w:val="20"/>
          <w:szCs w:val="20"/>
          <w:lang w:eastAsia="zh-TW"/>
        </w:rPr>
        <w:t>N 303 98</w:t>
      </w:r>
      <w:r>
        <w:rPr>
          <w:rFonts w:hint="eastAsia" w:eastAsia="宋体"/>
          <w:sz w:val="20"/>
          <w:szCs w:val="20"/>
          <w:lang w:val="en-US" w:eastAsia="zh-CN"/>
        </w:rPr>
        <w:t>1.</w:t>
      </w:r>
    </w:p>
    <w:p>
      <w:pPr>
        <w:bidi w:val="0"/>
        <w:jc w:val="both"/>
        <w:rPr>
          <w:rFonts w:hint="default"/>
          <w:b/>
          <w:bCs/>
          <w:sz w:val="20"/>
          <w:szCs w:val="18"/>
          <w:lang w:val="en-US" w:eastAsia="zh-CN"/>
        </w:rPr>
      </w:pPr>
      <w:r>
        <w:rPr>
          <w:rFonts w:hint="eastAsia"/>
          <w:b/>
          <w:bCs/>
          <w:sz w:val="20"/>
          <w:szCs w:val="18"/>
          <w:lang w:val="en-US" w:eastAsia="zh-CN"/>
        </w:rPr>
        <w:t>EN 303 980</w:t>
      </w:r>
    </w:p>
    <w:p>
      <w:pPr>
        <w:bidi w:val="0"/>
        <w:jc w:val="center"/>
        <w:rPr>
          <w:rFonts w:hint="default"/>
          <w:b/>
          <w:bCs/>
          <w:sz w:val="20"/>
          <w:szCs w:val="18"/>
          <w:lang w:val="en-US" w:eastAsia="zh-CN"/>
        </w:rPr>
      </w:pPr>
      <w:r>
        <w:drawing>
          <wp:inline distT="0" distB="0" distL="114300" distR="114300">
            <wp:extent cx="5058410" cy="3501390"/>
            <wp:effectExtent l="116840" t="86360" r="341630" b="32893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5"/>
                    <a:stretch>
                      <a:fillRect/>
                    </a:stretch>
                  </pic:blipFill>
                  <pic:spPr>
                    <a:xfrm>
                      <a:off x="0" y="0"/>
                      <a:ext cx="5058410" cy="350139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eastAsia"/>
          <w:b/>
          <w:bCs/>
          <w:sz w:val="20"/>
          <w:szCs w:val="18"/>
          <w:lang w:val="en-US" w:eastAsia="zh-CN"/>
        </w:rPr>
      </w:pPr>
      <w:r>
        <w:rPr>
          <w:rFonts w:hint="eastAsia"/>
          <w:b/>
          <w:bCs/>
          <w:sz w:val="20"/>
          <w:szCs w:val="18"/>
          <w:lang w:val="en-US" w:eastAsia="zh-CN"/>
        </w:rPr>
        <w:t>EN 303 981</w:t>
      </w:r>
    </w:p>
    <w:p>
      <w:pPr>
        <w:bidi w:val="0"/>
        <w:jc w:val="center"/>
        <w:rPr>
          <w:rFonts w:hint="eastAsia"/>
          <w:lang w:val="en-US" w:eastAsia="zh-CN"/>
        </w:rPr>
      </w:pPr>
      <w:r>
        <w:drawing>
          <wp:inline distT="0" distB="0" distL="114300" distR="114300">
            <wp:extent cx="5162550" cy="3319780"/>
            <wp:effectExtent l="116840" t="86360" r="344170" b="327660"/>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26"/>
                    <a:stretch>
                      <a:fillRect/>
                    </a:stretch>
                  </pic:blipFill>
                  <pic:spPr>
                    <a:xfrm>
                      <a:off x="0" y="0"/>
                      <a:ext cx="5162550" cy="3319780"/>
                    </a:xfrm>
                    <a:prstGeom prst="rect">
                      <a:avLst/>
                    </a:prstGeom>
                    <a:ln>
                      <a:noFill/>
                    </a:ln>
                    <a:effectLst>
                      <a:outerShdw blurRad="292100" dist="139700" dir="2700000" algn="tl" rotWithShape="0">
                        <a:srgbClr val="333333">
                          <a:alpha val="65000"/>
                        </a:srgbClr>
                      </a:outerShdw>
                    </a:effectLst>
                  </pic:spPr>
                </pic:pic>
              </a:graphicData>
            </a:graphic>
          </wp:inline>
        </w:drawing>
      </w:r>
      <w:r>
        <w:drawing>
          <wp:inline distT="0" distB="0" distL="114300" distR="114300">
            <wp:extent cx="5019040" cy="2312670"/>
            <wp:effectExtent l="116840" t="86360" r="335280" b="32893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27"/>
                    <a:stretch>
                      <a:fillRect/>
                    </a:stretch>
                  </pic:blipFill>
                  <pic:spPr>
                    <a:xfrm>
                      <a:off x="0" y="0"/>
                      <a:ext cx="5019040" cy="2312670"/>
                    </a:xfrm>
                    <a:prstGeom prst="rect">
                      <a:avLst/>
                    </a:prstGeom>
                    <a:ln>
                      <a:noFill/>
                    </a:ln>
                    <a:effectLst>
                      <a:outerShdw blurRad="292100" dist="139700" dir="2700000" algn="tl" rotWithShape="0">
                        <a:srgbClr val="333333">
                          <a:alpha val="65000"/>
                        </a:srgbClr>
                      </a:outerShdw>
                    </a:effectLst>
                  </pic:spPr>
                </pic:pic>
              </a:graphicData>
            </a:graphic>
          </wp:inline>
        </w:drawing>
      </w:r>
    </w:p>
    <w:p>
      <w:pPr>
        <w:bidi w:val="0"/>
        <w:jc w:val="both"/>
        <w:rPr>
          <w:rFonts w:hint="default"/>
          <w:b/>
          <w:bCs/>
          <w:sz w:val="20"/>
          <w:szCs w:val="20"/>
          <w:lang w:val="en-US" w:eastAsia="zh-CN"/>
        </w:rPr>
      </w:pPr>
      <w:r>
        <w:rPr>
          <w:rFonts w:hint="eastAsia"/>
          <w:b/>
          <w:bCs/>
          <w:sz w:val="20"/>
          <w:szCs w:val="20"/>
          <w:lang w:val="en-US" w:eastAsia="zh-CN"/>
        </w:rPr>
        <w:t>Observation 6: EN 303 981 defines two sets of receiver antenna off-axis performance for two classes of mobile VSAT with NGSO for Ku band.</w:t>
      </w:r>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b/>
          <w:kern w:val="0"/>
          <w:sz w:val="28"/>
          <w:szCs w:val="28"/>
          <w:highlight w:val="none"/>
        </w:rPr>
      </w:pPr>
      <w:r>
        <w:rPr>
          <w:b/>
          <w:kern w:val="0"/>
          <w:sz w:val="28"/>
          <w:szCs w:val="28"/>
          <w:highlight w:val="none"/>
        </w:rPr>
        <w:t>3 Conclusion</w:t>
      </w:r>
    </w:p>
    <w:p>
      <w:pPr>
        <w:keepNext w:val="0"/>
        <w:keepLines w:val="0"/>
        <w:pageBreakBefore w:val="0"/>
        <w:widowControl w:val="0"/>
        <w:numPr>
          <w:ilvl w:val="-1"/>
          <w:numId w:val="0"/>
        </w:numPr>
        <w:shd w:val="clear"/>
        <w:kinsoku/>
        <w:wordWrap/>
        <w:overflowPunct/>
        <w:topLinePunct w:val="0"/>
        <w:autoSpaceDE/>
        <w:autoSpaceDN/>
        <w:bidi w:val="0"/>
        <w:adjustRightInd/>
        <w:snapToGrid/>
        <w:spacing w:beforeLines="-2147483648" w:afterLines="-2147483648" w:line="240" w:lineRule="auto"/>
        <w:jc w:val="left"/>
        <w:textAlignment w:val="auto"/>
        <w:rPr>
          <w:rFonts w:hint="eastAsia" w:ascii="Times New Roman" w:hAnsi="Times New Roman" w:eastAsia="宋体" w:cs="Times New Roman"/>
          <w:b w:val="0"/>
          <w:bCs w:val="0"/>
          <w:kern w:val="0"/>
          <w:sz w:val="20"/>
          <w:szCs w:val="20"/>
          <w:highlight w:val="none"/>
          <w:lang w:val="en-US" w:eastAsia="zh-CN" w:bidi="ar-SA"/>
        </w:rPr>
      </w:pPr>
      <w:r>
        <w:rPr>
          <w:rFonts w:hint="eastAsia" w:ascii="Times New Roman" w:hAnsi="Times New Roman" w:eastAsia="宋体" w:cs="Times New Roman"/>
          <w:b w:val="0"/>
          <w:bCs w:val="0"/>
          <w:kern w:val="0"/>
          <w:sz w:val="20"/>
          <w:szCs w:val="20"/>
          <w:highlight w:val="none"/>
          <w:lang w:val="en-US" w:eastAsia="zh-CN" w:bidi="ar-SA"/>
        </w:rPr>
        <w:t xml:space="preserve">In this contribution, we shared some views on </w:t>
      </w:r>
      <w:r>
        <w:rPr>
          <w:rFonts w:hint="eastAsia" w:cs="Times New Roman"/>
          <w:b w:val="0"/>
          <w:bCs w:val="0"/>
          <w:kern w:val="0"/>
          <w:sz w:val="20"/>
          <w:szCs w:val="20"/>
          <w:highlight w:val="none"/>
          <w:lang w:val="en-US" w:eastAsia="zh-CN" w:bidi="ar-SA"/>
        </w:rPr>
        <w:t xml:space="preserve">UE RF requirements </w:t>
      </w:r>
      <w:r>
        <w:rPr>
          <w:rFonts w:hint="eastAsia" w:ascii="Times New Roman" w:hAnsi="Times New Roman" w:eastAsia="宋体" w:cs="Times New Roman"/>
          <w:b w:val="0"/>
          <w:bCs w:val="0"/>
          <w:kern w:val="0"/>
          <w:sz w:val="20"/>
          <w:szCs w:val="20"/>
          <w:highlight w:val="none"/>
          <w:lang w:val="en-US" w:eastAsia="zh-CN" w:bidi="ar-SA"/>
        </w:rPr>
        <w:t xml:space="preserve">for NTN </w:t>
      </w:r>
      <w:r>
        <w:rPr>
          <w:rFonts w:hint="eastAsia" w:cs="Times New Roman"/>
          <w:b w:val="0"/>
          <w:bCs w:val="0"/>
          <w:kern w:val="0"/>
          <w:sz w:val="20"/>
          <w:szCs w:val="20"/>
          <w:highlight w:val="none"/>
          <w:lang w:val="en-US" w:eastAsia="zh-CN" w:bidi="ar-SA"/>
        </w:rPr>
        <w:t>Ku band</w:t>
      </w:r>
      <w:r>
        <w:rPr>
          <w:rFonts w:hint="eastAsia" w:ascii="Times New Roman" w:hAnsi="Times New Roman" w:eastAsia="宋体" w:cs="Times New Roman"/>
          <w:b w:val="0"/>
          <w:bCs w:val="0"/>
          <w:kern w:val="0"/>
          <w:sz w:val="20"/>
          <w:szCs w:val="20"/>
          <w:highlight w:val="none"/>
          <w:lang w:val="en-US" w:eastAsia="zh-CN" w:bidi="ar-SA"/>
        </w:rPr>
        <w:t xml:space="preserve"> and the</w:t>
      </w:r>
      <w:r>
        <w:rPr>
          <w:rFonts w:hint="eastAsia" w:cs="Times New Roman"/>
          <w:b w:val="0"/>
          <w:bCs w:val="0"/>
          <w:kern w:val="0"/>
          <w:sz w:val="20"/>
          <w:szCs w:val="20"/>
          <w:highlight w:val="none"/>
          <w:lang w:val="en-US" w:eastAsia="zh-CN" w:bidi="ar-SA"/>
        </w:rPr>
        <w:t xml:space="preserve"> </w:t>
      </w:r>
      <w:r>
        <w:rPr>
          <w:rFonts w:hint="eastAsia" w:ascii="Times New Roman" w:hAnsi="Times New Roman" w:eastAsia="宋体" w:cs="Times New Roman"/>
          <w:b w:val="0"/>
          <w:bCs w:val="0"/>
          <w:kern w:val="0"/>
          <w:sz w:val="20"/>
          <w:szCs w:val="20"/>
          <w:highlight w:val="none"/>
          <w:lang w:val="en-US" w:eastAsia="zh-CN" w:bidi="ar-SA"/>
        </w:rPr>
        <w:t>proposal</w:t>
      </w:r>
      <w:r>
        <w:rPr>
          <w:rFonts w:hint="eastAsia" w:cs="Times New Roman"/>
          <w:b w:val="0"/>
          <w:bCs w:val="0"/>
          <w:kern w:val="0"/>
          <w:sz w:val="20"/>
          <w:szCs w:val="20"/>
          <w:highlight w:val="none"/>
          <w:lang w:val="en-US" w:eastAsia="zh-CN" w:bidi="ar-SA"/>
        </w:rPr>
        <w:t>s are</w:t>
      </w:r>
      <w:r>
        <w:rPr>
          <w:rFonts w:hint="eastAsia" w:ascii="Times New Roman" w:hAnsi="Times New Roman" w:eastAsia="宋体" w:cs="Times New Roman"/>
          <w:b w:val="0"/>
          <w:bCs w:val="0"/>
          <w:kern w:val="0"/>
          <w:sz w:val="20"/>
          <w:szCs w:val="20"/>
          <w:highlight w:val="none"/>
          <w:lang w:val="en-US" w:eastAsia="zh-CN" w:bidi="ar-SA"/>
        </w:rPr>
        <w:t xml:space="preserve"> made as follow</w:t>
      </w:r>
      <w:r>
        <w:rPr>
          <w:rFonts w:hint="eastAsia" w:cs="Times New Roman"/>
          <w:b w:val="0"/>
          <w:bCs w:val="0"/>
          <w:kern w:val="0"/>
          <w:sz w:val="20"/>
          <w:szCs w:val="20"/>
          <w:highlight w:val="none"/>
          <w:lang w:val="en-US" w:eastAsia="zh-CN" w:bidi="ar-SA"/>
        </w:rPr>
        <w:t>s</w:t>
      </w:r>
      <w:r>
        <w:rPr>
          <w:rFonts w:hint="eastAsia" w:ascii="Times New Roman" w:hAnsi="Times New Roman" w:eastAsia="宋体" w:cs="Times New Roman"/>
          <w:b w:val="0"/>
          <w:bCs w:val="0"/>
          <w:kern w:val="0"/>
          <w:sz w:val="20"/>
          <w:szCs w:val="20"/>
          <w:highlight w:val="none"/>
          <w:lang w:val="en-US" w:eastAsia="zh-CN" w:bidi="ar-SA"/>
        </w:rPr>
        <w:t>:</w:t>
      </w:r>
    </w:p>
    <w:p>
      <w:pPr>
        <w:numPr>
          <w:ilvl w:val="0"/>
          <w:numId w:val="0"/>
        </w:numPr>
        <w:overflowPunct w:val="0"/>
        <w:autoSpaceDE w:val="0"/>
        <w:autoSpaceDN w:val="0"/>
        <w:adjustRightInd w:val="0"/>
        <w:spacing w:after="0"/>
        <w:jc w:val="both"/>
        <w:textAlignment w:val="baseline"/>
        <w:rPr>
          <w:rFonts w:hint="eastAsia"/>
          <w:b/>
          <w:bCs/>
          <w:sz w:val="20"/>
          <w:szCs w:val="20"/>
          <w:lang w:val="en-US" w:eastAsia="zh-CN"/>
        </w:rPr>
      </w:pPr>
      <w:r>
        <w:rPr>
          <w:rFonts w:hint="eastAsia"/>
          <w:b/>
          <w:bCs/>
          <w:sz w:val="20"/>
          <w:szCs w:val="20"/>
          <w:lang w:val="en-US" w:eastAsia="zh-CN"/>
        </w:rPr>
        <w:t>Proposal 1: Need to clarify whether to introduce a new NTN VSAT type for Mobile VSAT with NGSO.</w:t>
      </w:r>
    </w:p>
    <w:p>
      <w:pPr>
        <w:numPr>
          <w:ilvl w:val="0"/>
          <w:numId w:val="0"/>
        </w:numPr>
        <w:overflowPunct w:val="0"/>
        <w:autoSpaceDE w:val="0"/>
        <w:autoSpaceDN w:val="0"/>
        <w:adjustRightInd w:val="0"/>
        <w:spacing w:after="0"/>
        <w:jc w:val="both"/>
        <w:textAlignment w:val="baseline"/>
        <w:rPr>
          <w:rFonts w:hint="default"/>
          <w:b/>
          <w:bCs/>
          <w:sz w:val="18"/>
          <w:szCs w:val="16"/>
          <w:lang w:val="en-US" w:eastAsia="zh-CN"/>
        </w:rPr>
      </w:pPr>
      <w:r>
        <w:rPr>
          <w:rFonts w:hint="eastAsia"/>
          <w:b/>
          <w:bCs/>
          <w:sz w:val="20"/>
          <w:szCs w:val="20"/>
          <w:lang w:val="en-US" w:eastAsia="zh-CN"/>
        </w:rPr>
        <w:t>Proposal 2: It is proposed to only consider ECC regulation related to mobile VSAT with NGSO and GSO when specifying the maximum EIRP requirements for Ku band.</w:t>
      </w:r>
    </w:p>
    <w:p>
      <w:pPr>
        <w:rPr>
          <w:rFonts w:hint="default" w:eastAsia="宋体"/>
          <w:b/>
          <w:bCs/>
          <w:sz w:val="20"/>
          <w:szCs w:val="20"/>
          <w:lang w:val="en-US" w:eastAsia="zh-CN"/>
        </w:rPr>
      </w:pPr>
      <w:r>
        <w:rPr>
          <w:rFonts w:hint="eastAsia" w:eastAsia="宋体"/>
          <w:b/>
          <w:bCs/>
          <w:sz w:val="20"/>
          <w:szCs w:val="20"/>
          <w:lang w:val="en-US" w:eastAsia="zh-CN"/>
        </w:rPr>
        <w:t>Observation 1: EN 301 428, EN 302 340 and EN 302 977 all apply to mobile VSAT, and only EN 302 977 clarifies that the regulation is for mobile VSAT with GSO.</w:t>
      </w:r>
    </w:p>
    <w:p>
      <w:pPr>
        <w:rPr>
          <w:rFonts w:hint="default"/>
          <w:lang w:val="en-US" w:eastAsia="zh-CN"/>
        </w:rPr>
      </w:pPr>
      <w:r>
        <w:rPr>
          <w:rFonts w:hint="eastAsia" w:eastAsia="宋体"/>
          <w:b/>
          <w:bCs/>
          <w:sz w:val="20"/>
          <w:szCs w:val="20"/>
          <w:lang w:val="en-US" w:eastAsia="zh-CN"/>
        </w:rPr>
        <w:t xml:space="preserve">Observation </w:t>
      </w:r>
      <w:r>
        <w:rPr>
          <w:rFonts w:hint="eastAsia"/>
          <w:b/>
          <w:bCs/>
          <w:sz w:val="20"/>
          <w:szCs w:val="20"/>
          <w:lang w:val="en-US" w:eastAsia="zh-CN"/>
        </w:rPr>
        <w:t>2</w:t>
      </w:r>
      <w:r>
        <w:rPr>
          <w:rFonts w:hint="eastAsia" w:eastAsia="宋体"/>
          <w:b/>
          <w:bCs/>
          <w:sz w:val="20"/>
          <w:szCs w:val="20"/>
          <w:lang w:val="en-US" w:eastAsia="zh-CN"/>
        </w:rPr>
        <w:t>: ECC Decision(18)04</w:t>
      </w:r>
      <w:r>
        <w:rPr>
          <w:rFonts w:hint="eastAsia"/>
          <w:b/>
          <w:bCs/>
          <w:sz w:val="20"/>
          <w:szCs w:val="20"/>
          <w:lang w:val="en-US" w:eastAsia="zh-CN"/>
        </w:rPr>
        <w:t xml:space="preserve"> specifies off-axis EIRP requirement for </w:t>
      </w:r>
      <w:r>
        <w:rPr>
          <w:rFonts w:hint="eastAsia" w:eastAsia="宋体"/>
          <w:b/>
          <w:bCs/>
          <w:sz w:val="20"/>
          <w:szCs w:val="20"/>
          <w:lang w:val="en-US" w:eastAsia="zh-CN"/>
        </w:rPr>
        <w:t>mobile VSAT with GSO</w:t>
      </w:r>
      <w:r>
        <w:rPr>
          <w:rFonts w:hint="eastAsia"/>
          <w:b/>
          <w:bCs/>
          <w:sz w:val="20"/>
          <w:szCs w:val="20"/>
          <w:lang w:val="en-US" w:eastAsia="zh-CN"/>
        </w:rPr>
        <w:t>, which is same as the requirement in FCC regulation.</w:t>
      </w:r>
    </w:p>
    <w:p>
      <w:pPr>
        <w:bidi w:val="0"/>
        <w:jc w:val="both"/>
        <w:rPr>
          <w:rFonts w:hint="eastAsia"/>
          <w:sz w:val="20"/>
          <w:szCs w:val="20"/>
          <w:lang w:val="en-US" w:eastAsia="zh-CN"/>
        </w:rPr>
      </w:pPr>
      <w:r>
        <w:rPr>
          <w:rFonts w:hint="eastAsia"/>
          <w:b/>
          <w:bCs/>
          <w:sz w:val="20"/>
          <w:szCs w:val="20"/>
          <w:lang w:val="en-US" w:eastAsia="zh-CN"/>
        </w:rPr>
        <w:t>Observation 3: For on-axis spurious limits in “Carrier-on” state, EN 302 977 gives different requirements for outside and inside with dBW in any 100 kHz for Ku band in UL 14.0–14.5 GHz.</w:t>
      </w:r>
    </w:p>
    <w:p>
      <w:pPr>
        <w:bidi w:val="0"/>
        <w:jc w:val="both"/>
        <w:rPr>
          <w:rFonts w:hint="eastAsia"/>
          <w:b/>
          <w:bCs/>
          <w:sz w:val="20"/>
          <w:szCs w:val="20"/>
          <w:lang w:val="en-US" w:eastAsia="zh-CN"/>
        </w:rPr>
      </w:pPr>
      <w:r>
        <w:rPr>
          <w:rFonts w:hint="eastAsia"/>
          <w:b/>
          <w:bCs/>
          <w:sz w:val="20"/>
          <w:szCs w:val="20"/>
          <w:lang w:val="en-US" w:eastAsia="zh-CN"/>
        </w:rPr>
        <w:t xml:space="preserve">Proposal 3: </w:t>
      </w:r>
      <w:r>
        <w:rPr>
          <w:rFonts w:hint="eastAsia"/>
          <w:b/>
          <w:bCs/>
          <w:sz w:val="20"/>
          <w:szCs w:val="18"/>
          <w:lang w:val="en-US" w:eastAsia="zh-CN"/>
        </w:rPr>
        <w:t>It is proposed to use</w:t>
      </w:r>
      <w:r>
        <w:rPr>
          <w:rFonts w:hint="eastAsia"/>
          <w:b/>
          <w:bCs/>
          <w:sz w:val="20"/>
          <w:szCs w:val="20"/>
          <w:lang w:val="en-US" w:eastAsia="zh-CN"/>
        </w:rPr>
        <w:t xml:space="preserve"> </w:t>
      </w:r>
      <w:r>
        <w:rPr>
          <w:rFonts w:hint="eastAsia"/>
          <w:b/>
          <w:bCs/>
          <w:sz w:val="20"/>
          <w:szCs w:val="18"/>
          <w:lang w:val="en-US" w:eastAsia="zh-CN"/>
        </w:rPr>
        <w:t>on-axis spurious limits in “Carrier-on” state in EN 302 977 as a starting point for mobile VSAT with GSO for Ku band</w:t>
      </w:r>
      <w:r>
        <w:rPr>
          <w:rFonts w:hint="eastAsia"/>
          <w:b/>
          <w:bCs/>
          <w:sz w:val="20"/>
          <w:szCs w:val="20"/>
          <w:lang w:val="en-US" w:eastAsia="zh-CN"/>
        </w:rPr>
        <w:t>.</w:t>
      </w:r>
    </w:p>
    <w:p>
      <w:pPr>
        <w:bidi w:val="0"/>
        <w:jc w:val="both"/>
        <w:rPr>
          <w:rFonts w:hint="eastAsia"/>
          <w:b/>
          <w:bCs/>
          <w:sz w:val="20"/>
          <w:szCs w:val="18"/>
          <w:lang w:val="en-US" w:eastAsia="zh-CN"/>
        </w:rPr>
      </w:pPr>
      <w:r>
        <w:rPr>
          <w:rFonts w:hint="eastAsia"/>
          <w:b/>
          <w:bCs/>
          <w:sz w:val="20"/>
          <w:szCs w:val="18"/>
          <w:lang w:val="en-US" w:eastAsia="zh-CN"/>
        </w:rPr>
        <w:t>Proposal 4: It is proposed to specify the same on-axis spurious limits in “Carrier-on” state for both outside and inside as specified in EN 303 980, EN 303 981 for mobile VSAT with NGSO for Ku band.</w:t>
      </w:r>
    </w:p>
    <w:p>
      <w:pPr>
        <w:bidi w:val="0"/>
        <w:jc w:val="both"/>
        <w:rPr>
          <w:rFonts w:hint="default"/>
          <w:b/>
          <w:bCs/>
          <w:sz w:val="20"/>
          <w:szCs w:val="20"/>
          <w:lang w:val="en-US" w:eastAsia="zh-CN"/>
        </w:rPr>
      </w:pPr>
      <w:r>
        <w:rPr>
          <w:rFonts w:hint="eastAsia"/>
          <w:b/>
          <w:bCs/>
          <w:sz w:val="20"/>
          <w:szCs w:val="20"/>
          <w:lang w:val="en-US" w:eastAsia="zh-CN"/>
        </w:rPr>
        <w:t>Observation 4: For the general and off-axis spurious limits in “Emissions disabled” state, the requirements specified in EN 303 980, EN 303 981 and EN 302 977 for Ku band are same for mobile VSAT with GSO and NGSO for Ku band.</w:t>
      </w:r>
    </w:p>
    <w:p>
      <w:pPr>
        <w:bidi w:val="0"/>
        <w:jc w:val="both"/>
        <w:rPr>
          <w:rFonts w:hint="eastAsia"/>
          <w:b/>
          <w:bCs/>
          <w:sz w:val="20"/>
          <w:szCs w:val="20"/>
          <w:lang w:val="en-US" w:eastAsia="zh-CN"/>
        </w:rPr>
      </w:pPr>
      <w:r>
        <w:rPr>
          <w:rFonts w:hint="eastAsia"/>
          <w:b/>
          <w:bCs/>
          <w:sz w:val="20"/>
          <w:szCs w:val="20"/>
          <w:lang w:val="en-US" w:eastAsia="zh-CN"/>
        </w:rPr>
        <w:t xml:space="preserve">Proposal 5: </w:t>
      </w:r>
      <w:r>
        <w:rPr>
          <w:rFonts w:hint="eastAsia"/>
          <w:b/>
          <w:bCs/>
          <w:sz w:val="20"/>
          <w:szCs w:val="18"/>
          <w:lang w:val="en-US" w:eastAsia="zh-CN"/>
        </w:rPr>
        <w:t>It is proposed to use</w:t>
      </w:r>
      <w:r>
        <w:rPr>
          <w:rFonts w:hint="eastAsia"/>
          <w:b/>
          <w:bCs/>
          <w:sz w:val="20"/>
          <w:szCs w:val="20"/>
          <w:lang w:val="en-US" w:eastAsia="zh-CN"/>
        </w:rPr>
        <w:t xml:space="preserve"> </w:t>
      </w:r>
      <w:r>
        <w:rPr>
          <w:rFonts w:hint="eastAsia"/>
          <w:b/>
          <w:bCs/>
          <w:sz w:val="20"/>
          <w:szCs w:val="18"/>
          <w:lang w:val="en-US" w:eastAsia="zh-CN"/>
        </w:rPr>
        <w:t>off-axis spurious limits in “Carrier-on” and “Carrier-off” state in EN 302 977 as a starting point for mobile VSAT with GSO for Ku band</w:t>
      </w:r>
      <w:r>
        <w:rPr>
          <w:rFonts w:hint="eastAsia"/>
          <w:b/>
          <w:bCs/>
          <w:sz w:val="20"/>
          <w:szCs w:val="20"/>
          <w:lang w:val="en-US" w:eastAsia="zh-CN"/>
        </w:rPr>
        <w:t>.</w:t>
      </w:r>
    </w:p>
    <w:p>
      <w:pPr>
        <w:bidi w:val="0"/>
        <w:jc w:val="both"/>
        <w:rPr>
          <w:rFonts w:hint="eastAsia"/>
          <w:b/>
          <w:bCs/>
          <w:sz w:val="20"/>
          <w:szCs w:val="18"/>
          <w:lang w:val="en-US" w:eastAsia="zh-CN"/>
        </w:rPr>
      </w:pPr>
      <w:r>
        <w:rPr>
          <w:rFonts w:hint="eastAsia"/>
          <w:b/>
          <w:bCs/>
          <w:sz w:val="20"/>
          <w:szCs w:val="18"/>
          <w:lang w:val="en-US" w:eastAsia="zh-CN"/>
        </w:rPr>
        <w:t>Proposal 6: It is proposed to use off-axis spurious limits in “Carrier-on” and “Carrier-off” state specified in EN 303 980, EN 303 981 as a starting point for mobile VSAT with NGSO for Ku band.</w:t>
      </w:r>
    </w:p>
    <w:p>
      <w:pPr>
        <w:bidi w:val="0"/>
        <w:jc w:val="both"/>
        <w:rPr>
          <w:rFonts w:hint="eastAsia"/>
          <w:b/>
          <w:bCs/>
          <w:sz w:val="20"/>
          <w:szCs w:val="20"/>
          <w:lang w:val="en-US" w:eastAsia="zh-CN"/>
        </w:rPr>
      </w:pPr>
      <w:r>
        <w:rPr>
          <w:rFonts w:hint="eastAsia"/>
          <w:b/>
          <w:bCs/>
          <w:sz w:val="20"/>
          <w:szCs w:val="20"/>
          <w:lang w:val="en-US" w:eastAsia="zh-CN"/>
        </w:rPr>
        <w:t>Observation 5: For receiver antenna off-axis performance, EN 303 977 and EN 302 340 have the same requirement as defined in TS 38.101-5 for Ka band.</w:t>
      </w:r>
    </w:p>
    <w:p>
      <w:pPr>
        <w:bidi w:val="0"/>
        <w:jc w:val="both"/>
        <w:rPr>
          <w:rFonts w:hint="eastAsia"/>
          <w:b/>
          <w:bCs/>
          <w:sz w:val="20"/>
          <w:szCs w:val="20"/>
          <w:lang w:val="en-US" w:eastAsia="zh-CN"/>
        </w:rPr>
      </w:pPr>
      <w:r>
        <w:rPr>
          <w:rFonts w:hint="eastAsia"/>
          <w:b/>
          <w:bCs/>
          <w:sz w:val="20"/>
          <w:szCs w:val="18"/>
          <w:lang w:val="en-US" w:eastAsia="zh-CN"/>
        </w:rPr>
        <w:t xml:space="preserve">Proposal 7: It is proposed to use the same requirement as </w:t>
      </w:r>
      <w:r>
        <w:rPr>
          <w:rFonts w:hint="eastAsia"/>
          <w:b/>
          <w:bCs/>
          <w:sz w:val="20"/>
          <w:szCs w:val="20"/>
          <w:lang w:val="en-US" w:eastAsia="zh-CN"/>
        </w:rPr>
        <w:t>defined in TS 38.101-5 for Ka band for mobile VSAT with GSO operating in Ku band.</w:t>
      </w:r>
    </w:p>
    <w:p>
      <w:pPr>
        <w:bidi w:val="0"/>
        <w:jc w:val="both"/>
        <w:rPr>
          <w:rFonts w:hint="default"/>
          <w:b/>
          <w:bCs/>
          <w:sz w:val="20"/>
          <w:szCs w:val="20"/>
          <w:lang w:val="en-US" w:eastAsia="zh-CN"/>
        </w:rPr>
      </w:pPr>
      <w:r>
        <w:rPr>
          <w:rFonts w:hint="eastAsia"/>
          <w:b/>
          <w:bCs/>
          <w:sz w:val="20"/>
          <w:szCs w:val="20"/>
          <w:lang w:val="en-US" w:eastAsia="zh-CN"/>
        </w:rPr>
        <w:t>Observation 6: EN 303 981 defines two sets of receiver antenna off-axis performance for two classes of mobile VSAT with NGSO for Ku band.</w:t>
      </w:r>
    </w:p>
    <w:p>
      <w:pPr>
        <w:keepNext w:val="0"/>
        <w:keepLines w:val="0"/>
        <w:pageBreakBefore w:val="0"/>
        <w:widowControl w:val="0"/>
        <w:numPr>
          <w:ilvl w:val="-1"/>
          <w:numId w:val="0"/>
        </w:numPr>
        <w:shd w:val="clear"/>
        <w:kinsoku/>
        <w:wordWrap/>
        <w:overflowPunct/>
        <w:topLinePunct w:val="0"/>
        <w:autoSpaceDE/>
        <w:autoSpaceDN/>
        <w:bidi w:val="0"/>
        <w:adjustRightInd/>
        <w:snapToGrid/>
        <w:spacing w:beforeLines="-2147483648" w:afterLines="-2147483648" w:line="240" w:lineRule="auto"/>
        <w:jc w:val="left"/>
        <w:textAlignment w:val="auto"/>
        <w:rPr>
          <w:rFonts w:hint="eastAsia" w:ascii="Times New Roman" w:hAnsi="Times New Roman" w:eastAsia="宋体" w:cs="Times New Roman"/>
          <w:b w:val="0"/>
          <w:bCs w:val="0"/>
          <w:kern w:val="0"/>
          <w:sz w:val="20"/>
          <w:szCs w:val="20"/>
          <w:highlight w:val="none"/>
          <w:lang w:val="en-US" w:eastAsia="zh-CN" w:bidi="ar-SA"/>
        </w:rPr>
      </w:pPr>
      <w:bookmarkStart w:id="8" w:name="_GoBack"/>
      <w:bookmarkEnd w:id="8"/>
    </w:p>
    <w:p>
      <w:pPr>
        <w:keepNext w:val="0"/>
        <w:keepLines w:val="0"/>
        <w:pageBreakBefore w:val="0"/>
        <w:widowControl w:val="0"/>
        <w:pBdr>
          <w:top w:val="single" w:color="auto" w:sz="12" w:space="3"/>
        </w:pBdr>
        <w:kinsoku/>
        <w:wordWrap/>
        <w:topLinePunct w:val="0"/>
        <w:bidi w:val="0"/>
        <w:snapToGrid/>
        <w:spacing w:beforeLines="0" w:after="120" w:afterLines="0"/>
        <w:jc w:val="left"/>
        <w:outlineLvl w:val="0"/>
        <w:rPr>
          <w:b/>
          <w:kern w:val="0"/>
          <w:sz w:val="28"/>
          <w:szCs w:val="28"/>
          <w:highlight w:val="none"/>
        </w:rPr>
      </w:pPr>
      <w:r>
        <w:rPr>
          <w:b/>
          <w:kern w:val="0"/>
          <w:sz w:val="28"/>
          <w:szCs w:val="28"/>
          <w:highlight w:val="none"/>
        </w:rPr>
        <w:t>4</w:t>
      </w:r>
      <w:r>
        <w:rPr>
          <w:rFonts w:hint="eastAsia"/>
          <w:b/>
          <w:kern w:val="0"/>
          <w:sz w:val="28"/>
          <w:szCs w:val="28"/>
          <w:highlight w:val="none"/>
          <w:lang w:val="en-US" w:eastAsia="zh-CN"/>
        </w:rPr>
        <w:t xml:space="preserve"> </w:t>
      </w:r>
      <w:r>
        <w:rPr>
          <w:b/>
          <w:kern w:val="0"/>
          <w:sz w:val="28"/>
          <w:szCs w:val="28"/>
          <w:highlight w:val="none"/>
        </w:rPr>
        <w:t>Reference</w:t>
      </w:r>
    </w:p>
    <w:p>
      <w:pPr>
        <w:keepNext/>
        <w:keepLines/>
        <w:pageBreakBefore w:val="0"/>
        <w:widowControl/>
        <w:numPr>
          <w:ilvl w:val="0"/>
          <w:numId w:val="11"/>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eastAsia"/>
          <w:sz w:val="20"/>
          <w:szCs w:val="20"/>
          <w:lang w:val="en-US" w:eastAsia="zh-CN"/>
        </w:rPr>
        <w:t>RP-243314, Revised WID: Introduction of Ku bands for NR NTN, Intelsat et al.</w:t>
      </w:r>
    </w:p>
    <w:p>
      <w:pPr>
        <w:keepNext/>
        <w:keepLines/>
        <w:pageBreakBefore w:val="0"/>
        <w:widowControl/>
        <w:numPr>
          <w:ilvl w:val="0"/>
          <w:numId w:val="11"/>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r>
        <w:rPr>
          <w:rFonts w:hint="default"/>
          <w:color w:val="auto"/>
          <w:lang w:val="en-US" w:eastAsia="zh-CN"/>
        </w:rPr>
        <w:t>R4-241</w:t>
      </w:r>
      <w:r>
        <w:rPr>
          <w:rFonts w:hint="eastAsia"/>
          <w:color w:val="auto"/>
          <w:lang w:val="en-US" w:eastAsia="zh-CN"/>
        </w:rPr>
        <w:t>9790, Way Forward for [112bis][314] NR_NTN_Ku_Band_UE_SAN_RF, Moderator (CHTTL)</w:t>
      </w:r>
    </w:p>
    <w:p>
      <w:pPr>
        <w:keepNext/>
        <w:keepLines/>
        <w:pageBreakBefore w:val="0"/>
        <w:widowControl/>
        <w:numPr>
          <w:ilvl w:val="0"/>
          <w:numId w:val="11"/>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color w:val="auto"/>
          <w:lang w:val="en-US" w:eastAsia="zh-CN"/>
        </w:rPr>
      </w:pPr>
      <w:r>
        <w:rPr>
          <w:rFonts w:hint="default"/>
          <w:color w:val="auto"/>
          <w:lang w:val="en-US" w:eastAsia="zh-CN"/>
        </w:rPr>
        <w:t>R4-2411190</w:t>
      </w:r>
      <w:r>
        <w:rPr>
          <w:rFonts w:hint="eastAsia"/>
          <w:color w:val="auto"/>
          <w:lang w:val="en-US" w:eastAsia="zh-CN"/>
        </w:rPr>
        <w:t>, NTN Ku-band – Regulatory aspects and band(s) definition, Ericsson</w:t>
      </w:r>
    </w:p>
    <w:p>
      <w:pPr>
        <w:keepNext/>
        <w:keepLines/>
        <w:pageBreakBefore w:val="0"/>
        <w:widowControl/>
        <w:numPr>
          <w:ilvl w:val="0"/>
          <w:numId w:val="0"/>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p>
    <w:p>
      <w:pPr>
        <w:keepNext/>
        <w:keepLines/>
        <w:pageBreakBefore w:val="0"/>
        <w:widowControl/>
        <w:numPr>
          <w:ilvl w:val="-1"/>
          <w:numId w:val="0"/>
        </w:numPr>
        <w:tabs>
          <w:tab w:val="left" w:pos="90"/>
          <w:tab w:val="left" w:pos="1868"/>
          <w:tab w:val="right" w:pos="10648"/>
        </w:tabs>
        <w:kinsoku/>
        <w:wordWrap/>
        <w:overflowPunct/>
        <w:topLinePunct w:val="0"/>
        <w:autoSpaceDE/>
        <w:autoSpaceDN/>
        <w:bidi w:val="0"/>
        <w:adjustRightInd/>
        <w:snapToGrid/>
        <w:spacing w:before="53" w:beforeLines="0" w:afterLines="0" w:line="260" w:lineRule="auto"/>
        <w:jc w:val="left"/>
        <w:textAlignment w:val="auto"/>
        <w:rPr>
          <w:rFonts w:hint="default" w:ascii="Times New Roman" w:hAnsi="Times New Roman" w:eastAsia="宋体" w:cs="Times New Roman"/>
          <w:b w:val="0"/>
          <w:bCs w:val="0"/>
          <w:color w:val="auto"/>
          <w:sz w:val="20"/>
          <w:szCs w:val="20"/>
          <w:highlight w:val="none"/>
          <w:lang w:val="en-US" w:eastAsia="zh-CN"/>
        </w:rPr>
      </w:pPr>
    </w:p>
    <w:p>
      <w:pPr>
        <w:keepNext w:val="0"/>
        <w:keepLines w:val="0"/>
        <w:pageBreakBefore w:val="0"/>
        <w:widowControl/>
        <w:numPr>
          <w:ilvl w:val="-1"/>
          <w:numId w:val="0"/>
        </w:numPr>
        <w:kinsoku/>
        <w:wordWrap/>
        <w:overflowPunct/>
        <w:topLinePunct w:val="0"/>
        <w:autoSpaceDE/>
        <w:autoSpaceDN/>
        <w:bidi w:val="0"/>
        <w:adjustRightInd/>
        <w:snapToGrid/>
        <w:spacing w:before="0" w:beforeLines="-2147483648" w:afterLines="-2147483648" w:line="240" w:lineRule="auto"/>
        <w:jc w:val="center"/>
        <w:textAlignment w:val="auto"/>
        <w:rPr>
          <w:rFonts w:hint="default"/>
          <w:b/>
          <w:bCs/>
          <w:sz w:val="20"/>
          <w:szCs w:val="18"/>
          <w:lang w:val="en-US" w:eastAsia="zh-CN"/>
        </w:rPr>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pgBorders>
        <w:top w:val="none" w:sz="0" w:space="0"/>
        <w:left w:val="none" w:sz="0" w:space="0"/>
        <w:bottom w:val="none" w:sz="0" w:space="0"/>
        <w:right w:val="none" w:sz="0" w:space="0"/>
      </w:pgBorders>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仿宋_GB2312">
    <w:altName w:val="仿宋"/>
    <w:panose1 w:val="00000000000000000000"/>
    <w:charset w:val="86"/>
    <w:family w:val="modern"/>
    <w:pitch w:val="default"/>
    <w:sig w:usb0="00000000" w:usb1="00000000" w:usb2="00000010" w:usb3="00000000" w:csb0="00040000" w:csb1="00000000"/>
  </w:font>
  <w:font w:name="TimesNewRomanPS-ItalicMT">
    <w:altName w:val="Segoe Print"/>
    <w:panose1 w:val="00000000000000000000"/>
    <w:charset w:val="00"/>
    <w:family w:val="auto"/>
    <w:pitch w:val="default"/>
    <w:sig w:usb0="00000000" w:usb1="00000000" w:usb2="00000000" w:usb3="00000000" w:csb0="00000000" w:csb1="00000000"/>
  </w:font>
  <w:font w:name="PMingLiU">
    <w:altName w:val="PMingLiU-ExtB"/>
    <w:panose1 w:val="02020500000000000000"/>
    <w:charset w:val="88"/>
    <w:family w:val="roman"/>
    <w:pitch w:val="default"/>
    <w:sig w:usb0="00000000" w:usb1="00000000" w:usb2="00000016" w:usb3="00000000" w:csb0="00100001" w:csb1="00000000"/>
  </w:font>
  <w:font w:name="Yu Mincho">
    <w:altName w:val="Yu Gothic UI"/>
    <w:panose1 w:val="020204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485056"/>
    </w:sdtPr>
    <w:sdtContent>
      <w:p>
        <w:pPr>
          <w:pStyle w:val="16"/>
          <w:spacing w:before="120" w:after="120"/>
          <w:jc w:val="center"/>
        </w:pPr>
        <w:r>
          <w:fldChar w:fldCharType="begin"/>
        </w:r>
        <w:r>
          <w:instrText xml:space="preserve"> PAGE   \* MERGEFORMAT </w:instrText>
        </w:r>
        <w:r>
          <w:fldChar w:fldCharType="separate"/>
        </w:r>
        <w:r>
          <w:t>1</w:t>
        </w:r>
        <w:r>
          <w:fldChar w:fldCharType="end"/>
        </w:r>
      </w:p>
    </w:sdtContent>
  </w:sdt>
  <w:p>
    <w:pPr>
      <w:pStyle w:val="16"/>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14666EE"/>
    <w:multiLevelType w:val="singleLevel"/>
    <w:tmpl w:val="A14666EE"/>
    <w:lvl w:ilvl="0" w:tentative="0">
      <w:start w:val="1"/>
      <w:numFmt w:val="lowerRoman"/>
      <w:pStyle w:val="46"/>
      <w:lvlText w:val="%1"/>
      <w:lvlJc w:val="left"/>
      <w:pPr>
        <w:tabs>
          <w:tab w:val="left" w:pos="807"/>
        </w:tabs>
        <w:ind w:left="420" w:firstLine="0"/>
      </w:pPr>
      <w:rPr>
        <w:rFonts w:hint="default" w:ascii="Times New Roman" w:hAnsi="Times New Roman" w:eastAsia="宋体" w:cs="Times New Roman"/>
        <w:i/>
        <w:iCs/>
      </w:rPr>
    </w:lvl>
  </w:abstractNum>
  <w:abstractNum w:abstractNumId="1">
    <w:nsid w:val="CE44A3D1"/>
    <w:multiLevelType w:val="singleLevel"/>
    <w:tmpl w:val="CE44A3D1"/>
    <w:lvl w:ilvl="0" w:tentative="0">
      <w:start w:val="1"/>
      <w:numFmt w:val="bullet"/>
      <w:pStyle w:val="35"/>
      <w:lvlText w:val="•"/>
      <w:lvlJc w:val="left"/>
      <w:pPr>
        <w:tabs>
          <w:tab w:val="left" w:pos="807"/>
        </w:tabs>
        <w:ind w:left="420" w:firstLine="0"/>
      </w:pPr>
      <w:rPr>
        <w:rFonts w:hint="default" w:ascii="Arial" w:hAnsi="Arial" w:cs="Arial"/>
      </w:rPr>
    </w:lvl>
  </w:abstractNum>
  <w:abstractNum w:abstractNumId="2">
    <w:nsid w:val="0BDD5F2B"/>
    <w:multiLevelType w:val="multilevel"/>
    <w:tmpl w:val="0BDD5F2B"/>
    <w:lvl w:ilvl="0" w:tentative="0">
      <w:start w:val="1"/>
      <w:numFmt w:val="decimal"/>
      <w:pStyle w:val="2"/>
      <w:suff w:val="nothing"/>
      <w:lvlText w:val="%1  "/>
      <w:lvlJc w:val="left"/>
      <w:pPr>
        <w:ind w:left="0" w:firstLine="0"/>
      </w:pPr>
      <w:rPr>
        <w:rFonts w:hint="default" w:ascii="Arial" w:hAnsi="Arial" w:eastAsia="黑体"/>
        <w:b w:val="0"/>
        <w:i w:val="0"/>
        <w:sz w:val="36"/>
        <w:szCs w:val="36"/>
        <w:lang w:val="en-US"/>
      </w:rPr>
    </w:lvl>
    <w:lvl w:ilvl="1" w:tentative="0">
      <w:start w:val="1"/>
      <w:numFmt w:val="decimal"/>
      <w:pStyle w:val="3"/>
      <w:suff w:val="nothing"/>
      <w:lvlText w:val="%1.%2  "/>
      <w:lvlJc w:val="left"/>
      <w:pPr>
        <w:ind w:left="993" w:firstLine="0"/>
      </w:pPr>
      <w:rPr>
        <w:rFonts w:hint="default" w:ascii="Arial" w:hAnsi="Arial" w:cs="Arial"/>
        <w:b w:val="0"/>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4"/>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3">
    <w:nsid w:val="12F73E4B"/>
    <w:multiLevelType w:val="multilevel"/>
    <w:tmpl w:val="12F73E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31343BB7"/>
    <w:multiLevelType w:val="singleLevel"/>
    <w:tmpl w:val="31343BB7"/>
    <w:lvl w:ilvl="0" w:tentative="0">
      <w:start w:val="1"/>
      <w:numFmt w:val="decimal"/>
      <w:pStyle w:val="32"/>
      <w:lvlText w:val="Observation %1: "/>
      <w:lvlJc w:val="left"/>
      <w:pPr>
        <w:tabs>
          <w:tab w:val="left" w:pos="0"/>
        </w:tabs>
        <w:ind w:left="0" w:firstLine="0"/>
      </w:pPr>
      <w:rPr>
        <w:rFonts w:hint="default" w:ascii="Times New Roman" w:hAnsi="Times New Roman" w:eastAsia="宋体" w:cs="Times New Roman"/>
        <w:b/>
        <w:bCs/>
        <w:i/>
        <w:iCs/>
      </w:rPr>
    </w:lvl>
  </w:abstractNum>
  <w:abstractNum w:abstractNumId="5">
    <w:nsid w:val="3A877D64"/>
    <w:multiLevelType w:val="singleLevel"/>
    <w:tmpl w:val="3A877D64"/>
    <w:lvl w:ilvl="0" w:tentative="0">
      <w:start w:val="1"/>
      <w:numFmt w:val="decimal"/>
      <w:pStyle w:val="33"/>
      <w:lvlText w:val="[%1]"/>
      <w:lvlJc w:val="left"/>
      <w:pPr>
        <w:tabs>
          <w:tab w:val="left" w:pos="360"/>
        </w:tabs>
        <w:ind w:left="360" w:hanging="360"/>
      </w:pPr>
    </w:lvl>
  </w:abstractNum>
  <w:abstractNum w:abstractNumId="6">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7">
    <w:nsid w:val="5BAA8B4C"/>
    <w:multiLevelType w:val="multilevel"/>
    <w:tmpl w:val="5BAA8B4C"/>
    <w:lvl w:ilvl="0" w:tentative="0">
      <w:start w:val="1"/>
      <w:numFmt w:val="decimal"/>
      <w:pStyle w:val="31"/>
      <w:lvlText w:val="Proposal %1:"/>
      <w:lvlJc w:val="left"/>
      <w:pPr>
        <w:tabs>
          <w:tab w:val="left" w:pos="0"/>
        </w:tabs>
        <w:ind w:left="0" w:firstLine="0"/>
      </w:pPr>
      <w:rPr>
        <w:rFonts w:hint="default" w:ascii="Times New Roman" w:hAnsi="Times New Roman" w:eastAsia="宋体" w:cs="Times New Roman"/>
        <w:b/>
        <w:bCs/>
        <w:i/>
        <w:iCs/>
        <w:lang w:val="en-US"/>
      </w:rPr>
    </w:lvl>
    <w:lvl w:ilvl="1" w:tentative="0">
      <w:start w:val="1"/>
      <w:numFmt w:val="bullet"/>
      <w:pStyle w:val="44"/>
      <w:lvlText w:val="•"/>
      <w:lvlJc w:val="left"/>
      <w:pPr>
        <w:tabs>
          <w:tab w:val="left" w:pos="840"/>
        </w:tabs>
        <w:ind w:left="840" w:hanging="420"/>
      </w:pPr>
      <w:rPr>
        <w:rFonts w:hint="default" w:ascii="Arial" w:hAnsi="Arial" w:eastAsia="宋体" w:cs="Arial"/>
        <w:b/>
        <w:bCs/>
        <w:i/>
        <w:iCs/>
      </w:rPr>
    </w:lvl>
    <w:lvl w:ilvl="2" w:tentative="0">
      <w:start w:val="1"/>
      <w:numFmt w:val="bullet"/>
      <w:pStyle w:val="45"/>
      <w:lvlText w:val="o"/>
      <w:lvlJc w:val="left"/>
      <w:pPr>
        <w:tabs>
          <w:tab w:val="left" w:pos="1260"/>
        </w:tabs>
        <w:ind w:left="1260" w:hanging="420"/>
      </w:pPr>
      <w:rPr>
        <w:rFonts w:hint="default" w:ascii="Courier New" w:hAnsi="Courier New" w:cs="Courier New"/>
      </w:rPr>
    </w:lvl>
    <w:lvl w:ilvl="3" w:tentative="0">
      <w:start w:val="1"/>
      <w:numFmt w:val="lowerRoman"/>
      <w:lvlText w:val="%4."/>
      <w:lvlJc w:val="left"/>
      <w:pPr>
        <w:tabs>
          <w:tab w:val="left" w:pos="1680"/>
        </w:tabs>
        <w:ind w:left="1680" w:hanging="420"/>
      </w:pPr>
      <w:rPr>
        <w:rFonts w:hint="default" w:ascii="宋体" w:hAnsi="宋体" w:eastAsia="宋体" w:cs="宋体"/>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8">
    <w:nsid w:val="5F723A5E"/>
    <w:multiLevelType w:val="singleLevel"/>
    <w:tmpl w:val="5F723A5E"/>
    <w:lvl w:ilvl="0" w:tentative="0">
      <w:start w:val="1"/>
      <w:numFmt w:val="decimal"/>
      <w:suff w:val="space"/>
      <w:lvlText w:val="[%1]"/>
      <w:lvlJc w:val="left"/>
    </w:lvl>
  </w:abstractNum>
  <w:abstractNum w:abstractNumId="9">
    <w:nsid w:val="6B5B4F67"/>
    <w:multiLevelType w:val="multilevel"/>
    <w:tmpl w:val="6B5B4F67"/>
    <w:lvl w:ilvl="0" w:tentative="0">
      <w:start w:val="1"/>
      <w:numFmt w:val="decimal"/>
      <w:pStyle w:val="12"/>
      <w:lvlText w:val="[%1]"/>
      <w:lvlJc w:val="left"/>
      <w:pPr>
        <w:ind w:left="0" w:hanging="420"/>
      </w:pPr>
      <w:rPr>
        <w:rFonts w:hint="eastAsia"/>
      </w:rPr>
    </w:lvl>
    <w:lvl w:ilvl="1" w:tentative="0">
      <w:start w:val="1"/>
      <w:numFmt w:val="lowerLetter"/>
      <w:lvlText w:val="%2)"/>
      <w:lvlJc w:val="left"/>
      <w:pPr>
        <w:ind w:left="62" w:hanging="420"/>
      </w:pPr>
    </w:lvl>
    <w:lvl w:ilvl="2" w:tentative="0">
      <w:start w:val="1"/>
      <w:numFmt w:val="lowerRoman"/>
      <w:lvlText w:val="%3."/>
      <w:lvlJc w:val="right"/>
      <w:pPr>
        <w:ind w:left="482" w:hanging="420"/>
      </w:pPr>
    </w:lvl>
    <w:lvl w:ilvl="3" w:tentative="0">
      <w:start w:val="1"/>
      <w:numFmt w:val="decimal"/>
      <w:lvlText w:val="%4."/>
      <w:lvlJc w:val="left"/>
      <w:pPr>
        <w:ind w:left="902" w:hanging="420"/>
      </w:pPr>
    </w:lvl>
    <w:lvl w:ilvl="4" w:tentative="0">
      <w:start w:val="1"/>
      <w:numFmt w:val="lowerLetter"/>
      <w:lvlText w:val="%5)"/>
      <w:lvlJc w:val="left"/>
      <w:pPr>
        <w:ind w:left="1322" w:hanging="420"/>
      </w:pPr>
    </w:lvl>
    <w:lvl w:ilvl="5" w:tentative="0">
      <w:start w:val="1"/>
      <w:numFmt w:val="lowerRoman"/>
      <w:lvlText w:val="%6."/>
      <w:lvlJc w:val="right"/>
      <w:pPr>
        <w:ind w:left="1742" w:hanging="420"/>
      </w:pPr>
    </w:lvl>
    <w:lvl w:ilvl="6" w:tentative="0">
      <w:start w:val="1"/>
      <w:numFmt w:val="decimal"/>
      <w:lvlText w:val="%7."/>
      <w:lvlJc w:val="left"/>
      <w:pPr>
        <w:ind w:left="2162" w:hanging="420"/>
      </w:pPr>
    </w:lvl>
    <w:lvl w:ilvl="7" w:tentative="0">
      <w:start w:val="1"/>
      <w:numFmt w:val="lowerLetter"/>
      <w:lvlText w:val="%8)"/>
      <w:lvlJc w:val="left"/>
      <w:pPr>
        <w:ind w:left="2582" w:hanging="420"/>
      </w:pPr>
    </w:lvl>
    <w:lvl w:ilvl="8" w:tentative="0">
      <w:start w:val="1"/>
      <w:numFmt w:val="lowerRoman"/>
      <w:lvlText w:val="%9."/>
      <w:lvlJc w:val="right"/>
      <w:pPr>
        <w:ind w:left="3002" w:hanging="420"/>
      </w:pPr>
    </w:lvl>
  </w:abstractNum>
  <w:abstractNum w:abstractNumId="10">
    <w:nsid w:val="78A93F85"/>
    <w:multiLevelType w:val="multilevel"/>
    <w:tmpl w:val="78A93F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
  </w:num>
  <w:num w:numId="2">
    <w:abstractNumId w:val="9"/>
  </w:num>
  <w:num w:numId="3">
    <w:abstractNumId w:val="7"/>
  </w:num>
  <w:num w:numId="4">
    <w:abstractNumId w:val="4"/>
  </w:num>
  <w:num w:numId="5">
    <w:abstractNumId w:val="5"/>
  </w:num>
  <w:num w:numId="6">
    <w:abstractNumId w:val="1"/>
  </w:num>
  <w:num w:numId="7">
    <w:abstractNumId w:val="0"/>
  </w:num>
  <w:num w:numId="8">
    <w:abstractNumId w:val="10"/>
  </w:num>
  <w:num w:numId="9">
    <w:abstractNumId w:val="3"/>
  </w:num>
  <w:num w:numId="10">
    <w:abstractNumId w:val="6"/>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documentProtection w:enforcement="0"/>
  <w:defaultTabStop w:val="420"/>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3495"/>
    <w:rsid w:val="00005E2B"/>
    <w:rsid w:val="000060A1"/>
    <w:rsid w:val="000145B0"/>
    <w:rsid w:val="00021417"/>
    <w:rsid w:val="00023F70"/>
    <w:rsid w:val="00024917"/>
    <w:rsid w:val="00026619"/>
    <w:rsid w:val="00026F05"/>
    <w:rsid w:val="0002708F"/>
    <w:rsid w:val="000328AB"/>
    <w:rsid w:val="00055E90"/>
    <w:rsid w:val="0006398D"/>
    <w:rsid w:val="00073869"/>
    <w:rsid w:val="0008331E"/>
    <w:rsid w:val="000854F3"/>
    <w:rsid w:val="000913AF"/>
    <w:rsid w:val="000A4133"/>
    <w:rsid w:val="000A4385"/>
    <w:rsid w:val="000A5F2D"/>
    <w:rsid w:val="000A7E5B"/>
    <w:rsid w:val="000B306C"/>
    <w:rsid w:val="000B72CE"/>
    <w:rsid w:val="000C6FD0"/>
    <w:rsid w:val="000D2BFF"/>
    <w:rsid w:val="000D57E0"/>
    <w:rsid w:val="000D6B5A"/>
    <w:rsid w:val="000E17BC"/>
    <w:rsid w:val="000E2366"/>
    <w:rsid w:val="000F331A"/>
    <w:rsid w:val="000F64F0"/>
    <w:rsid w:val="000F734B"/>
    <w:rsid w:val="00103A61"/>
    <w:rsid w:val="00104103"/>
    <w:rsid w:val="00124481"/>
    <w:rsid w:val="00126AB9"/>
    <w:rsid w:val="00134804"/>
    <w:rsid w:val="00136DE0"/>
    <w:rsid w:val="0014297B"/>
    <w:rsid w:val="00153D6E"/>
    <w:rsid w:val="00154186"/>
    <w:rsid w:val="00154928"/>
    <w:rsid w:val="001668F7"/>
    <w:rsid w:val="00167A66"/>
    <w:rsid w:val="00172A27"/>
    <w:rsid w:val="00181331"/>
    <w:rsid w:val="001972EC"/>
    <w:rsid w:val="001A02CC"/>
    <w:rsid w:val="001A0763"/>
    <w:rsid w:val="001A2F90"/>
    <w:rsid w:val="001B4491"/>
    <w:rsid w:val="001B4A61"/>
    <w:rsid w:val="001C0690"/>
    <w:rsid w:val="001C7EE8"/>
    <w:rsid w:val="001D1D23"/>
    <w:rsid w:val="001D35E0"/>
    <w:rsid w:val="001E3484"/>
    <w:rsid w:val="001E43E0"/>
    <w:rsid w:val="001E4B08"/>
    <w:rsid w:val="001E4FF2"/>
    <w:rsid w:val="001E6706"/>
    <w:rsid w:val="001F2704"/>
    <w:rsid w:val="001F3990"/>
    <w:rsid w:val="001F442D"/>
    <w:rsid w:val="001F53DF"/>
    <w:rsid w:val="001F6B73"/>
    <w:rsid w:val="00200A37"/>
    <w:rsid w:val="00204B15"/>
    <w:rsid w:val="00205DE5"/>
    <w:rsid w:val="00210590"/>
    <w:rsid w:val="0021619D"/>
    <w:rsid w:val="002169F5"/>
    <w:rsid w:val="00224306"/>
    <w:rsid w:val="00233D01"/>
    <w:rsid w:val="00243827"/>
    <w:rsid w:val="00251D82"/>
    <w:rsid w:val="00256654"/>
    <w:rsid w:val="00263BFE"/>
    <w:rsid w:val="002721B8"/>
    <w:rsid w:val="00284819"/>
    <w:rsid w:val="00291C5F"/>
    <w:rsid w:val="002A5285"/>
    <w:rsid w:val="002B317A"/>
    <w:rsid w:val="002B7F9A"/>
    <w:rsid w:val="002C38DE"/>
    <w:rsid w:val="002D17CE"/>
    <w:rsid w:val="002D2488"/>
    <w:rsid w:val="002D535F"/>
    <w:rsid w:val="002E5075"/>
    <w:rsid w:val="002F60C6"/>
    <w:rsid w:val="00301C69"/>
    <w:rsid w:val="00307D72"/>
    <w:rsid w:val="00314629"/>
    <w:rsid w:val="00332ECB"/>
    <w:rsid w:val="003554B9"/>
    <w:rsid w:val="00365C81"/>
    <w:rsid w:val="00371A27"/>
    <w:rsid w:val="0037274A"/>
    <w:rsid w:val="00380EC3"/>
    <w:rsid w:val="00384FD2"/>
    <w:rsid w:val="0038701B"/>
    <w:rsid w:val="003875B1"/>
    <w:rsid w:val="003A449D"/>
    <w:rsid w:val="003A49A7"/>
    <w:rsid w:val="003A69A9"/>
    <w:rsid w:val="003B45A9"/>
    <w:rsid w:val="003B4D5C"/>
    <w:rsid w:val="003D6404"/>
    <w:rsid w:val="003E2CA8"/>
    <w:rsid w:val="003E4486"/>
    <w:rsid w:val="003E571A"/>
    <w:rsid w:val="004005E1"/>
    <w:rsid w:val="00403A84"/>
    <w:rsid w:val="004127DE"/>
    <w:rsid w:val="004136C5"/>
    <w:rsid w:val="00415A01"/>
    <w:rsid w:val="0041686A"/>
    <w:rsid w:val="00430809"/>
    <w:rsid w:val="0043126B"/>
    <w:rsid w:val="00432CFA"/>
    <w:rsid w:val="00434072"/>
    <w:rsid w:val="0044439F"/>
    <w:rsid w:val="00447360"/>
    <w:rsid w:val="004473B1"/>
    <w:rsid w:val="00450ED2"/>
    <w:rsid w:val="00456CF0"/>
    <w:rsid w:val="00464D3A"/>
    <w:rsid w:val="0046786B"/>
    <w:rsid w:val="00471253"/>
    <w:rsid w:val="00472E2B"/>
    <w:rsid w:val="00474D46"/>
    <w:rsid w:val="00475442"/>
    <w:rsid w:val="00486D5B"/>
    <w:rsid w:val="00487520"/>
    <w:rsid w:val="00491DB1"/>
    <w:rsid w:val="00491F56"/>
    <w:rsid w:val="004953DD"/>
    <w:rsid w:val="00496B7E"/>
    <w:rsid w:val="004A0A7D"/>
    <w:rsid w:val="004A219E"/>
    <w:rsid w:val="004B67C9"/>
    <w:rsid w:val="004B7C15"/>
    <w:rsid w:val="004C655F"/>
    <w:rsid w:val="004C68C4"/>
    <w:rsid w:val="004C7188"/>
    <w:rsid w:val="004C7366"/>
    <w:rsid w:val="004D00C7"/>
    <w:rsid w:val="004D7D6B"/>
    <w:rsid w:val="004E2C18"/>
    <w:rsid w:val="004E7D56"/>
    <w:rsid w:val="004F40F6"/>
    <w:rsid w:val="004F5309"/>
    <w:rsid w:val="005060AB"/>
    <w:rsid w:val="005117D3"/>
    <w:rsid w:val="005171AF"/>
    <w:rsid w:val="00530C83"/>
    <w:rsid w:val="005317AF"/>
    <w:rsid w:val="00540778"/>
    <w:rsid w:val="00551FB7"/>
    <w:rsid w:val="0055200D"/>
    <w:rsid w:val="005558F3"/>
    <w:rsid w:val="00556373"/>
    <w:rsid w:val="005600DF"/>
    <w:rsid w:val="00564DDE"/>
    <w:rsid w:val="00571C54"/>
    <w:rsid w:val="00571EA0"/>
    <w:rsid w:val="0057307C"/>
    <w:rsid w:val="005759AE"/>
    <w:rsid w:val="00581F2D"/>
    <w:rsid w:val="0059380D"/>
    <w:rsid w:val="005A33BC"/>
    <w:rsid w:val="005A62C0"/>
    <w:rsid w:val="005A634E"/>
    <w:rsid w:val="005B04FD"/>
    <w:rsid w:val="005B1BD7"/>
    <w:rsid w:val="005B5EA3"/>
    <w:rsid w:val="005C460A"/>
    <w:rsid w:val="005C7FA5"/>
    <w:rsid w:val="005D070D"/>
    <w:rsid w:val="005E40FB"/>
    <w:rsid w:val="005F1838"/>
    <w:rsid w:val="005F72AF"/>
    <w:rsid w:val="0060166B"/>
    <w:rsid w:val="00610622"/>
    <w:rsid w:val="00610E84"/>
    <w:rsid w:val="00623BAF"/>
    <w:rsid w:val="00624225"/>
    <w:rsid w:val="0062500E"/>
    <w:rsid w:val="00627358"/>
    <w:rsid w:val="00645440"/>
    <w:rsid w:val="0064615A"/>
    <w:rsid w:val="006519B5"/>
    <w:rsid w:val="00652629"/>
    <w:rsid w:val="00653661"/>
    <w:rsid w:val="00653D1A"/>
    <w:rsid w:val="006814BC"/>
    <w:rsid w:val="00681EE2"/>
    <w:rsid w:val="00682C34"/>
    <w:rsid w:val="00692759"/>
    <w:rsid w:val="00692D06"/>
    <w:rsid w:val="00693693"/>
    <w:rsid w:val="00694E3B"/>
    <w:rsid w:val="00696209"/>
    <w:rsid w:val="006A4F63"/>
    <w:rsid w:val="006C4128"/>
    <w:rsid w:val="006C4FC1"/>
    <w:rsid w:val="006D0BE3"/>
    <w:rsid w:val="006D73E7"/>
    <w:rsid w:val="006E07F5"/>
    <w:rsid w:val="006E0F39"/>
    <w:rsid w:val="006E2948"/>
    <w:rsid w:val="006F1E71"/>
    <w:rsid w:val="007100E9"/>
    <w:rsid w:val="00713289"/>
    <w:rsid w:val="00721C3B"/>
    <w:rsid w:val="007238ED"/>
    <w:rsid w:val="007274EB"/>
    <w:rsid w:val="00735D0D"/>
    <w:rsid w:val="00746E22"/>
    <w:rsid w:val="00756220"/>
    <w:rsid w:val="00764336"/>
    <w:rsid w:val="00776540"/>
    <w:rsid w:val="0078265C"/>
    <w:rsid w:val="00785CCD"/>
    <w:rsid w:val="007864BC"/>
    <w:rsid w:val="007A111A"/>
    <w:rsid w:val="007A7845"/>
    <w:rsid w:val="007B4AEC"/>
    <w:rsid w:val="007B78BA"/>
    <w:rsid w:val="007B7C40"/>
    <w:rsid w:val="007C0F3F"/>
    <w:rsid w:val="007C212D"/>
    <w:rsid w:val="007C2AEA"/>
    <w:rsid w:val="007C35BD"/>
    <w:rsid w:val="007C56BF"/>
    <w:rsid w:val="007D40A3"/>
    <w:rsid w:val="007D7EC8"/>
    <w:rsid w:val="007E083E"/>
    <w:rsid w:val="007E73BB"/>
    <w:rsid w:val="007F0C82"/>
    <w:rsid w:val="007F397A"/>
    <w:rsid w:val="007F5D97"/>
    <w:rsid w:val="007F6ACE"/>
    <w:rsid w:val="00804AC9"/>
    <w:rsid w:val="00810B4C"/>
    <w:rsid w:val="0082424D"/>
    <w:rsid w:val="008308A0"/>
    <w:rsid w:val="00832E40"/>
    <w:rsid w:val="008352F1"/>
    <w:rsid w:val="00841F02"/>
    <w:rsid w:val="00847D16"/>
    <w:rsid w:val="008616A3"/>
    <w:rsid w:val="00866C06"/>
    <w:rsid w:val="00884866"/>
    <w:rsid w:val="0088501F"/>
    <w:rsid w:val="0088695E"/>
    <w:rsid w:val="00887B64"/>
    <w:rsid w:val="00887C4C"/>
    <w:rsid w:val="00892BB4"/>
    <w:rsid w:val="00896760"/>
    <w:rsid w:val="008B5336"/>
    <w:rsid w:val="008B5677"/>
    <w:rsid w:val="008C42E9"/>
    <w:rsid w:val="008C71FA"/>
    <w:rsid w:val="008D0FE9"/>
    <w:rsid w:val="008E23F2"/>
    <w:rsid w:val="0090159D"/>
    <w:rsid w:val="00902259"/>
    <w:rsid w:val="009211BF"/>
    <w:rsid w:val="00923381"/>
    <w:rsid w:val="0092386E"/>
    <w:rsid w:val="00935D52"/>
    <w:rsid w:val="00944A9F"/>
    <w:rsid w:val="00945902"/>
    <w:rsid w:val="00954CEE"/>
    <w:rsid w:val="00957C85"/>
    <w:rsid w:val="00960230"/>
    <w:rsid w:val="00962FE8"/>
    <w:rsid w:val="0096312C"/>
    <w:rsid w:val="0096379A"/>
    <w:rsid w:val="009727FD"/>
    <w:rsid w:val="00975C4A"/>
    <w:rsid w:val="00985071"/>
    <w:rsid w:val="00993F32"/>
    <w:rsid w:val="009C165E"/>
    <w:rsid w:val="009C4D8C"/>
    <w:rsid w:val="009D77AD"/>
    <w:rsid w:val="009E2DC5"/>
    <w:rsid w:val="009F300C"/>
    <w:rsid w:val="009F72E0"/>
    <w:rsid w:val="00A1419A"/>
    <w:rsid w:val="00A2192E"/>
    <w:rsid w:val="00A307A0"/>
    <w:rsid w:val="00A36F0A"/>
    <w:rsid w:val="00A45420"/>
    <w:rsid w:val="00A51603"/>
    <w:rsid w:val="00A55ACD"/>
    <w:rsid w:val="00A56951"/>
    <w:rsid w:val="00A56B38"/>
    <w:rsid w:val="00A60FC1"/>
    <w:rsid w:val="00A66ED0"/>
    <w:rsid w:val="00A71700"/>
    <w:rsid w:val="00A73727"/>
    <w:rsid w:val="00A8158C"/>
    <w:rsid w:val="00A827D7"/>
    <w:rsid w:val="00A8652B"/>
    <w:rsid w:val="00A96342"/>
    <w:rsid w:val="00A9687A"/>
    <w:rsid w:val="00AA0C45"/>
    <w:rsid w:val="00AB1D66"/>
    <w:rsid w:val="00AB7E4D"/>
    <w:rsid w:val="00AC3E7C"/>
    <w:rsid w:val="00AC4B90"/>
    <w:rsid w:val="00AD02C9"/>
    <w:rsid w:val="00AE4768"/>
    <w:rsid w:val="00AE5FAD"/>
    <w:rsid w:val="00AE71B6"/>
    <w:rsid w:val="00B012CB"/>
    <w:rsid w:val="00B0288C"/>
    <w:rsid w:val="00B24A68"/>
    <w:rsid w:val="00B2645C"/>
    <w:rsid w:val="00B3240D"/>
    <w:rsid w:val="00B353FD"/>
    <w:rsid w:val="00B36DB0"/>
    <w:rsid w:val="00B43BBB"/>
    <w:rsid w:val="00B5514D"/>
    <w:rsid w:val="00B551F6"/>
    <w:rsid w:val="00B56064"/>
    <w:rsid w:val="00B5652E"/>
    <w:rsid w:val="00B6797B"/>
    <w:rsid w:val="00B92BB4"/>
    <w:rsid w:val="00BB0A84"/>
    <w:rsid w:val="00BB7052"/>
    <w:rsid w:val="00BC2AB7"/>
    <w:rsid w:val="00BE107C"/>
    <w:rsid w:val="00BE1368"/>
    <w:rsid w:val="00BF62E8"/>
    <w:rsid w:val="00C022A6"/>
    <w:rsid w:val="00C05C0B"/>
    <w:rsid w:val="00C107DB"/>
    <w:rsid w:val="00C137EA"/>
    <w:rsid w:val="00C16823"/>
    <w:rsid w:val="00C24C53"/>
    <w:rsid w:val="00C25162"/>
    <w:rsid w:val="00C27661"/>
    <w:rsid w:val="00C322B2"/>
    <w:rsid w:val="00C32A42"/>
    <w:rsid w:val="00C33951"/>
    <w:rsid w:val="00C3448B"/>
    <w:rsid w:val="00C43BD4"/>
    <w:rsid w:val="00C45E33"/>
    <w:rsid w:val="00C50EDF"/>
    <w:rsid w:val="00C5398B"/>
    <w:rsid w:val="00C83A72"/>
    <w:rsid w:val="00C928AB"/>
    <w:rsid w:val="00C93ED4"/>
    <w:rsid w:val="00C954A7"/>
    <w:rsid w:val="00C95F42"/>
    <w:rsid w:val="00CA08F3"/>
    <w:rsid w:val="00CA283F"/>
    <w:rsid w:val="00CA386E"/>
    <w:rsid w:val="00CA568B"/>
    <w:rsid w:val="00CB1EDD"/>
    <w:rsid w:val="00CB5814"/>
    <w:rsid w:val="00CC0827"/>
    <w:rsid w:val="00CC33D5"/>
    <w:rsid w:val="00CC3433"/>
    <w:rsid w:val="00CC42B3"/>
    <w:rsid w:val="00CC516E"/>
    <w:rsid w:val="00CC51D5"/>
    <w:rsid w:val="00CC6EF3"/>
    <w:rsid w:val="00CC7C77"/>
    <w:rsid w:val="00CD3F9F"/>
    <w:rsid w:val="00CE50F2"/>
    <w:rsid w:val="00CE5EAF"/>
    <w:rsid w:val="00CE79B3"/>
    <w:rsid w:val="00CF40EB"/>
    <w:rsid w:val="00D0372D"/>
    <w:rsid w:val="00D05CCB"/>
    <w:rsid w:val="00D0717D"/>
    <w:rsid w:val="00D12096"/>
    <w:rsid w:val="00D15E57"/>
    <w:rsid w:val="00D2097F"/>
    <w:rsid w:val="00D21EF8"/>
    <w:rsid w:val="00D234CB"/>
    <w:rsid w:val="00D35BC4"/>
    <w:rsid w:val="00D52E7D"/>
    <w:rsid w:val="00D67AC0"/>
    <w:rsid w:val="00D67B5A"/>
    <w:rsid w:val="00D70142"/>
    <w:rsid w:val="00D7345C"/>
    <w:rsid w:val="00D75EDF"/>
    <w:rsid w:val="00DA28CF"/>
    <w:rsid w:val="00DA51C2"/>
    <w:rsid w:val="00DB5D94"/>
    <w:rsid w:val="00DC0D6E"/>
    <w:rsid w:val="00DE5372"/>
    <w:rsid w:val="00E006DF"/>
    <w:rsid w:val="00E01390"/>
    <w:rsid w:val="00E05D5E"/>
    <w:rsid w:val="00E11075"/>
    <w:rsid w:val="00E11CBF"/>
    <w:rsid w:val="00E169AA"/>
    <w:rsid w:val="00E16B1D"/>
    <w:rsid w:val="00E329CC"/>
    <w:rsid w:val="00E341EE"/>
    <w:rsid w:val="00E34DFB"/>
    <w:rsid w:val="00E362EA"/>
    <w:rsid w:val="00E408E0"/>
    <w:rsid w:val="00E427D9"/>
    <w:rsid w:val="00E46CAB"/>
    <w:rsid w:val="00E53AB3"/>
    <w:rsid w:val="00E56021"/>
    <w:rsid w:val="00E62914"/>
    <w:rsid w:val="00E65216"/>
    <w:rsid w:val="00E72EED"/>
    <w:rsid w:val="00E8052F"/>
    <w:rsid w:val="00E829E8"/>
    <w:rsid w:val="00E917BF"/>
    <w:rsid w:val="00E94196"/>
    <w:rsid w:val="00E950FF"/>
    <w:rsid w:val="00EA239D"/>
    <w:rsid w:val="00EC2F99"/>
    <w:rsid w:val="00EC56AB"/>
    <w:rsid w:val="00EC62DB"/>
    <w:rsid w:val="00EC7337"/>
    <w:rsid w:val="00ED5E0F"/>
    <w:rsid w:val="00EE0FEF"/>
    <w:rsid w:val="00EE28B6"/>
    <w:rsid w:val="00F10452"/>
    <w:rsid w:val="00F11DBE"/>
    <w:rsid w:val="00F128B1"/>
    <w:rsid w:val="00F149DF"/>
    <w:rsid w:val="00F15C6E"/>
    <w:rsid w:val="00F21B9C"/>
    <w:rsid w:val="00F21C0C"/>
    <w:rsid w:val="00F23D40"/>
    <w:rsid w:val="00F24891"/>
    <w:rsid w:val="00F3322B"/>
    <w:rsid w:val="00F35371"/>
    <w:rsid w:val="00F506E5"/>
    <w:rsid w:val="00F52DE2"/>
    <w:rsid w:val="00F535F8"/>
    <w:rsid w:val="00F60E48"/>
    <w:rsid w:val="00F655C0"/>
    <w:rsid w:val="00F66D2B"/>
    <w:rsid w:val="00F67D26"/>
    <w:rsid w:val="00F7259C"/>
    <w:rsid w:val="00F850E4"/>
    <w:rsid w:val="00F858CA"/>
    <w:rsid w:val="00F91B54"/>
    <w:rsid w:val="00F96911"/>
    <w:rsid w:val="00FA3682"/>
    <w:rsid w:val="00FA3D99"/>
    <w:rsid w:val="00FB2B12"/>
    <w:rsid w:val="00FB3C9D"/>
    <w:rsid w:val="00FB46E7"/>
    <w:rsid w:val="00FB6239"/>
    <w:rsid w:val="00FB7CA4"/>
    <w:rsid w:val="00FC3509"/>
    <w:rsid w:val="00FD026F"/>
    <w:rsid w:val="00FD0720"/>
    <w:rsid w:val="00FD5FC4"/>
    <w:rsid w:val="00FE4F39"/>
    <w:rsid w:val="00FF10BD"/>
    <w:rsid w:val="01017306"/>
    <w:rsid w:val="01101B26"/>
    <w:rsid w:val="011A0B49"/>
    <w:rsid w:val="013E51BE"/>
    <w:rsid w:val="014A0623"/>
    <w:rsid w:val="01536583"/>
    <w:rsid w:val="0156475D"/>
    <w:rsid w:val="015D3EF3"/>
    <w:rsid w:val="016112D3"/>
    <w:rsid w:val="0165788D"/>
    <w:rsid w:val="01764F01"/>
    <w:rsid w:val="018107C9"/>
    <w:rsid w:val="0183684B"/>
    <w:rsid w:val="01854FE9"/>
    <w:rsid w:val="018A47AD"/>
    <w:rsid w:val="018E207B"/>
    <w:rsid w:val="0190283E"/>
    <w:rsid w:val="019C544F"/>
    <w:rsid w:val="019D155B"/>
    <w:rsid w:val="01A428BB"/>
    <w:rsid w:val="01AE307F"/>
    <w:rsid w:val="01B3282A"/>
    <w:rsid w:val="01B35169"/>
    <w:rsid w:val="01C00B7B"/>
    <w:rsid w:val="01CA1BB3"/>
    <w:rsid w:val="01D00B7E"/>
    <w:rsid w:val="01D46B8D"/>
    <w:rsid w:val="01D67ABF"/>
    <w:rsid w:val="01D866D8"/>
    <w:rsid w:val="01E251A8"/>
    <w:rsid w:val="01E54210"/>
    <w:rsid w:val="01EE2663"/>
    <w:rsid w:val="01F90434"/>
    <w:rsid w:val="01FB366B"/>
    <w:rsid w:val="01FD3930"/>
    <w:rsid w:val="02024A92"/>
    <w:rsid w:val="02042B52"/>
    <w:rsid w:val="021B7C87"/>
    <w:rsid w:val="021F6093"/>
    <w:rsid w:val="022D4A6E"/>
    <w:rsid w:val="023512AC"/>
    <w:rsid w:val="023B0A39"/>
    <w:rsid w:val="023C78A7"/>
    <w:rsid w:val="023F3FD3"/>
    <w:rsid w:val="02444B7E"/>
    <w:rsid w:val="024A5964"/>
    <w:rsid w:val="024B023C"/>
    <w:rsid w:val="024D6B6A"/>
    <w:rsid w:val="024E43D4"/>
    <w:rsid w:val="02510B5E"/>
    <w:rsid w:val="02566C17"/>
    <w:rsid w:val="025829A1"/>
    <w:rsid w:val="025C4BEF"/>
    <w:rsid w:val="026246A1"/>
    <w:rsid w:val="0262759F"/>
    <w:rsid w:val="02655431"/>
    <w:rsid w:val="027275A1"/>
    <w:rsid w:val="027371D9"/>
    <w:rsid w:val="0276366F"/>
    <w:rsid w:val="027F646E"/>
    <w:rsid w:val="027F64CF"/>
    <w:rsid w:val="02867DB1"/>
    <w:rsid w:val="028F6D4C"/>
    <w:rsid w:val="02926AD9"/>
    <w:rsid w:val="02933CBB"/>
    <w:rsid w:val="02951DBD"/>
    <w:rsid w:val="02976D78"/>
    <w:rsid w:val="02983E12"/>
    <w:rsid w:val="029A69A7"/>
    <w:rsid w:val="029B04E7"/>
    <w:rsid w:val="02A10998"/>
    <w:rsid w:val="02AB0FBC"/>
    <w:rsid w:val="02AE6812"/>
    <w:rsid w:val="02C44392"/>
    <w:rsid w:val="02D16C80"/>
    <w:rsid w:val="02DC3F9C"/>
    <w:rsid w:val="02E3105C"/>
    <w:rsid w:val="02E63DE2"/>
    <w:rsid w:val="02FB6CDA"/>
    <w:rsid w:val="03036B01"/>
    <w:rsid w:val="03052298"/>
    <w:rsid w:val="03073BDC"/>
    <w:rsid w:val="030A6B04"/>
    <w:rsid w:val="030B0647"/>
    <w:rsid w:val="030B2860"/>
    <w:rsid w:val="030C40C1"/>
    <w:rsid w:val="030D2F0B"/>
    <w:rsid w:val="031225C3"/>
    <w:rsid w:val="03147E4E"/>
    <w:rsid w:val="03187492"/>
    <w:rsid w:val="031A08DB"/>
    <w:rsid w:val="031E429F"/>
    <w:rsid w:val="032F336F"/>
    <w:rsid w:val="03317AD0"/>
    <w:rsid w:val="033C68CE"/>
    <w:rsid w:val="033F734A"/>
    <w:rsid w:val="03403A5C"/>
    <w:rsid w:val="03445E8F"/>
    <w:rsid w:val="03496C64"/>
    <w:rsid w:val="035154D3"/>
    <w:rsid w:val="03527C38"/>
    <w:rsid w:val="0356746F"/>
    <w:rsid w:val="0360259A"/>
    <w:rsid w:val="036522E7"/>
    <w:rsid w:val="036E37C2"/>
    <w:rsid w:val="03746F87"/>
    <w:rsid w:val="037B066B"/>
    <w:rsid w:val="037C6EF7"/>
    <w:rsid w:val="03814F5B"/>
    <w:rsid w:val="038B3141"/>
    <w:rsid w:val="03A77DFA"/>
    <w:rsid w:val="03B339B1"/>
    <w:rsid w:val="03B86472"/>
    <w:rsid w:val="03C05350"/>
    <w:rsid w:val="03C1287B"/>
    <w:rsid w:val="03C36B0E"/>
    <w:rsid w:val="03C528EA"/>
    <w:rsid w:val="03CF67FA"/>
    <w:rsid w:val="03E120EA"/>
    <w:rsid w:val="03E358F3"/>
    <w:rsid w:val="03E84DE8"/>
    <w:rsid w:val="03EC63CD"/>
    <w:rsid w:val="04030035"/>
    <w:rsid w:val="04142BDC"/>
    <w:rsid w:val="04242D1B"/>
    <w:rsid w:val="04251A4C"/>
    <w:rsid w:val="042D2E97"/>
    <w:rsid w:val="042E671D"/>
    <w:rsid w:val="04305EA0"/>
    <w:rsid w:val="04310833"/>
    <w:rsid w:val="04343921"/>
    <w:rsid w:val="04346443"/>
    <w:rsid w:val="043865BF"/>
    <w:rsid w:val="043A14AD"/>
    <w:rsid w:val="044C78D8"/>
    <w:rsid w:val="04537B11"/>
    <w:rsid w:val="04557675"/>
    <w:rsid w:val="04684A28"/>
    <w:rsid w:val="046C0EAE"/>
    <w:rsid w:val="04782230"/>
    <w:rsid w:val="0479507E"/>
    <w:rsid w:val="04894975"/>
    <w:rsid w:val="04922411"/>
    <w:rsid w:val="04A65723"/>
    <w:rsid w:val="04B14B03"/>
    <w:rsid w:val="04C16CF5"/>
    <w:rsid w:val="04CF6607"/>
    <w:rsid w:val="04D46535"/>
    <w:rsid w:val="04DA1A87"/>
    <w:rsid w:val="04DC0F32"/>
    <w:rsid w:val="04DE2DA3"/>
    <w:rsid w:val="04DF3C0B"/>
    <w:rsid w:val="04EB6DF8"/>
    <w:rsid w:val="04FF1C94"/>
    <w:rsid w:val="04FF33CD"/>
    <w:rsid w:val="04FF7D5A"/>
    <w:rsid w:val="0502349F"/>
    <w:rsid w:val="050C587A"/>
    <w:rsid w:val="050E7487"/>
    <w:rsid w:val="05161D2D"/>
    <w:rsid w:val="051B5DBA"/>
    <w:rsid w:val="0522500E"/>
    <w:rsid w:val="052E568F"/>
    <w:rsid w:val="05344105"/>
    <w:rsid w:val="053973F0"/>
    <w:rsid w:val="053E65E7"/>
    <w:rsid w:val="054B2F7A"/>
    <w:rsid w:val="0555228E"/>
    <w:rsid w:val="05595938"/>
    <w:rsid w:val="055A6B82"/>
    <w:rsid w:val="05636085"/>
    <w:rsid w:val="057D1D66"/>
    <w:rsid w:val="059B3F2F"/>
    <w:rsid w:val="059D265F"/>
    <w:rsid w:val="059E1515"/>
    <w:rsid w:val="05AD1B88"/>
    <w:rsid w:val="05B92EC1"/>
    <w:rsid w:val="05D05BD2"/>
    <w:rsid w:val="05DB542B"/>
    <w:rsid w:val="05E078B3"/>
    <w:rsid w:val="05E942A3"/>
    <w:rsid w:val="05EA759F"/>
    <w:rsid w:val="05EE6827"/>
    <w:rsid w:val="0601277E"/>
    <w:rsid w:val="060C5AED"/>
    <w:rsid w:val="06103146"/>
    <w:rsid w:val="06172561"/>
    <w:rsid w:val="061E54DA"/>
    <w:rsid w:val="061E5E22"/>
    <w:rsid w:val="06223FD1"/>
    <w:rsid w:val="062B2FCF"/>
    <w:rsid w:val="063E31D0"/>
    <w:rsid w:val="063F63E4"/>
    <w:rsid w:val="06460B91"/>
    <w:rsid w:val="064E3838"/>
    <w:rsid w:val="0654187C"/>
    <w:rsid w:val="065475DE"/>
    <w:rsid w:val="06556C03"/>
    <w:rsid w:val="06676354"/>
    <w:rsid w:val="066E5330"/>
    <w:rsid w:val="06782F84"/>
    <w:rsid w:val="067C28D6"/>
    <w:rsid w:val="068A55C2"/>
    <w:rsid w:val="068E06BC"/>
    <w:rsid w:val="069201CB"/>
    <w:rsid w:val="06956E2E"/>
    <w:rsid w:val="06AC7765"/>
    <w:rsid w:val="06B62C91"/>
    <w:rsid w:val="06B741D9"/>
    <w:rsid w:val="06B756E7"/>
    <w:rsid w:val="06C457B6"/>
    <w:rsid w:val="06CA5532"/>
    <w:rsid w:val="06CD4A70"/>
    <w:rsid w:val="06DF4C13"/>
    <w:rsid w:val="06E7678C"/>
    <w:rsid w:val="06EC7519"/>
    <w:rsid w:val="06F42A88"/>
    <w:rsid w:val="06F801C0"/>
    <w:rsid w:val="06FF7387"/>
    <w:rsid w:val="070E5E48"/>
    <w:rsid w:val="07105178"/>
    <w:rsid w:val="0712124C"/>
    <w:rsid w:val="071C13A8"/>
    <w:rsid w:val="073D143C"/>
    <w:rsid w:val="074454BD"/>
    <w:rsid w:val="074855FD"/>
    <w:rsid w:val="07627CA0"/>
    <w:rsid w:val="076319C4"/>
    <w:rsid w:val="076925D2"/>
    <w:rsid w:val="077241E3"/>
    <w:rsid w:val="0781725F"/>
    <w:rsid w:val="078C5933"/>
    <w:rsid w:val="078D336C"/>
    <w:rsid w:val="07971B3F"/>
    <w:rsid w:val="07983294"/>
    <w:rsid w:val="079B3BB0"/>
    <w:rsid w:val="079F1838"/>
    <w:rsid w:val="07A2030D"/>
    <w:rsid w:val="07A5677E"/>
    <w:rsid w:val="07B51934"/>
    <w:rsid w:val="07B9290D"/>
    <w:rsid w:val="07BE52B9"/>
    <w:rsid w:val="07C55A1A"/>
    <w:rsid w:val="07CB1347"/>
    <w:rsid w:val="07D57946"/>
    <w:rsid w:val="07ED524D"/>
    <w:rsid w:val="07F065BC"/>
    <w:rsid w:val="080124E3"/>
    <w:rsid w:val="08030E27"/>
    <w:rsid w:val="080C7FA0"/>
    <w:rsid w:val="080F0F47"/>
    <w:rsid w:val="08193C24"/>
    <w:rsid w:val="082A7098"/>
    <w:rsid w:val="08334B3D"/>
    <w:rsid w:val="08341060"/>
    <w:rsid w:val="08732D34"/>
    <w:rsid w:val="08787FF0"/>
    <w:rsid w:val="087C4B7B"/>
    <w:rsid w:val="08824DF0"/>
    <w:rsid w:val="0889002B"/>
    <w:rsid w:val="08991502"/>
    <w:rsid w:val="089B79D9"/>
    <w:rsid w:val="08A44DA6"/>
    <w:rsid w:val="08AA245A"/>
    <w:rsid w:val="08AD2ACC"/>
    <w:rsid w:val="08AF46A5"/>
    <w:rsid w:val="08BA6E24"/>
    <w:rsid w:val="08C024D5"/>
    <w:rsid w:val="08C562FD"/>
    <w:rsid w:val="08CA27B1"/>
    <w:rsid w:val="08E916DF"/>
    <w:rsid w:val="08EB38B6"/>
    <w:rsid w:val="08F473EA"/>
    <w:rsid w:val="08FC0AA5"/>
    <w:rsid w:val="090E2F35"/>
    <w:rsid w:val="091B4FFA"/>
    <w:rsid w:val="092173F4"/>
    <w:rsid w:val="09262DE9"/>
    <w:rsid w:val="092F7300"/>
    <w:rsid w:val="09306537"/>
    <w:rsid w:val="09355076"/>
    <w:rsid w:val="09392119"/>
    <w:rsid w:val="09445E95"/>
    <w:rsid w:val="094C1D4E"/>
    <w:rsid w:val="09543B3B"/>
    <w:rsid w:val="09600FBD"/>
    <w:rsid w:val="09664528"/>
    <w:rsid w:val="0972595C"/>
    <w:rsid w:val="09743BE1"/>
    <w:rsid w:val="098143BC"/>
    <w:rsid w:val="098500F1"/>
    <w:rsid w:val="0992510E"/>
    <w:rsid w:val="09B33AE4"/>
    <w:rsid w:val="09BD407A"/>
    <w:rsid w:val="09BF125C"/>
    <w:rsid w:val="09C12CF5"/>
    <w:rsid w:val="09D948FE"/>
    <w:rsid w:val="09DA0E26"/>
    <w:rsid w:val="09DB6437"/>
    <w:rsid w:val="09E55691"/>
    <w:rsid w:val="09F67CD5"/>
    <w:rsid w:val="0A054821"/>
    <w:rsid w:val="0A077A43"/>
    <w:rsid w:val="0A0835C8"/>
    <w:rsid w:val="0A145721"/>
    <w:rsid w:val="0A2317E4"/>
    <w:rsid w:val="0A335AB8"/>
    <w:rsid w:val="0A355EAA"/>
    <w:rsid w:val="0A3708FF"/>
    <w:rsid w:val="0A3B01F9"/>
    <w:rsid w:val="0A3F0488"/>
    <w:rsid w:val="0A402A36"/>
    <w:rsid w:val="0A4236A3"/>
    <w:rsid w:val="0A4E7EF5"/>
    <w:rsid w:val="0A522AF4"/>
    <w:rsid w:val="0A596130"/>
    <w:rsid w:val="0A627392"/>
    <w:rsid w:val="0A646846"/>
    <w:rsid w:val="0A6B3DAF"/>
    <w:rsid w:val="0A7B4D83"/>
    <w:rsid w:val="0A7C1440"/>
    <w:rsid w:val="0A817CBD"/>
    <w:rsid w:val="0A8251CA"/>
    <w:rsid w:val="0A8828AB"/>
    <w:rsid w:val="0A927DC1"/>
    <w:rsid w:val="0A951165"/>
    <w:rsid w:val="0A9B4F7F"/>
    <w:rsid w:val="0A9C263A"/>
    <w:rsid w:val="0A9D54CD"/>
    <w:rsid w:val="0A9E3D3D"/>
    <w:rsid w:val="0AA077E0"/>
    <w:rsid w:val="0AA5327C"/>
    <w:rsid w:val="0AC01F88"/>
    <w:rsid w:val="0AC0212C"/>
    <w:rsid w:val="0AC3085F"/>
    <w:rsid w:val="0AD542C1"/>
    <w:rsid w:val="0ADD5A20"/>
    <w:rsid w:val="0AE10FD9"/>
    <w:rsid w:val="0AF13898"/>
    <w:rsid w:val="0AFB3228"/>
    <w:rsid w:val="0AFC6C07"/>
    <w:rsid w:val="0AFD25E6"/>
    <w:rsid w:val="0AFF6A66"/>
    <w:rsid w:val="0B0130D7"/>
    <w:rsid w:val="0B0250FD"/>
    <w:rsid w:val="0B0F025C"/>
    <w:rsid w:val="0B1A6333"/>
    <w:rsid w:val="0B267BFC"/>
    <w:rsid w:val="0B2713F4"/>
    <w:rsid w:val="0B2D2F43"/>
    <w:rsid w:val="0B334367"/>
    <w:rsid w:val="0B3B1BC1"/>
    <w:rsid w:val="0B3B5196"/>
    <w:rsid w:val="0B3D701F"/>
    <w:rsid w:val="0B3E7DD7"/>
    <w:rsid w:val="0B491629"/>
    <w:rsid w:val="0B4B40F9"/>
    <w:rsid w:val="0B554398"/>
    <w:rsid w:val="0B561995"/>
    <w:rsid w:val="0B5C2C2A"/>
    <w:rsid w:val="0B6148D2"/>
    <w:rsid w:val="0B665E0A"/>
    <w:rsid w:val="0B680DC4"/>
    <w:rsid w:val="0B7C0E60"/>
    <w:rsid w:val="0B847B39"/>
    <w:rsid w:val="0B987E20"/>
    <w:rsid w:val="0B9E71DF"/>
    <w:rsid w:val="0BA65BCD"/>
    <w:rsid w:val="0BAD5CC5"/>
    <w:rsid w:val="0BAD5EDC"/>
    <w:rsid w:val="0BAF59B9"/>
    <w:rsid w:val="0BB524B8"/>
    <w:rsid w:val="0BB756DF"/>
    <w:rsid w:val="0BC63DB2"/>
    <w:rsid w:val="0BCC4043"/>
    <w:rsid w:val="0BCC4B6A"/>
    <w:rsid w:val="0BD66314"/>
    <w:rsid w:val="0BE2291A"/>
    <w:rsid w:val="0C07043D"/>
    <w:rsid w:val="0C1E494F"/>
    <w:rsid w:val="0C3427D0"/>
    <w:rsid w:val="0C3B2E96"/>
    <w:rsid w:val="0C43327D"/>
    <w:rsid w:val="0C4426AF"/>
    <w:rsid w:val="0C453647"/>
    <w:rsid w:val="0C4577EC"/>
    <w:rsid w:val="0C4F3B0E"/>
    <w:rsid w:val="0C4F7881"/>
    <w:rsid w:val="0C5A77EA"/>
    <w:rsid w:val="0C5C6396"/>
    <w:rsid w:val="0C63431B"/>
    <w:rsid w:val="0C650A20"/>
    <w:rsid w:val="0C690EFA"/>
    <w:rsid w:val="0C6E11B8"/>
    <w:rsid w:val="0C723CD1"/>
    <w:rsid w:val="0C7C294A"/>
    <w:rsid w:val="0C825F28"/>
    <w:rsid w:val="0C874EE1"/>
    <w:rsid w:val="0C89028B"/>
    <w:rsid w:val="0C8B63A3"/>
    <w:rsid w:val="0CB94808"/>
    <w:rsid w:val="0CC146A9"/>
    <w:rsid w:val="0CC37BC2"/>
    <w:rsid w:val="0CD87ABE"/>
    <w:rsid w:val="0CE26C42"/>
    <w:rsid w:val="0CE632FF"/>
    <w:rsid w:val="0CE76B48"/>
    <w:rsid w:val="0CEB5DBE"/>
    <w:rsid w:val="0CFB523A"/>
    <w:rsid w:val="0D074D4A"/>
    <w:rsid w:val="0D0A3371"/>
    <w:rsid w:val="0D0C5764"/>
    <w:rsid w:val="0D1B1E9C"/>
    <w:rsid w:val="0D1C2E6E"/>
    <w:rsid w:val="0D4B44A1"/>
    <w:rsid w:val="0D6811B4"/>
    <w:rsid w:val="0D6E2620"/>
    <w:rsid w:val="0D704E21"/>
    <w:rsid w:val="0D7F48FE"/>
    <w:rsid w:val="0D883C88"/>
    <w:rsid w:val="0D8A6002"/>
    <w:rsid w:val="0D9074CF"/>
    <w:rsid w:val="0D936E72"/>
    <w:rsid w:val="0D966BF7"/>
    <w:rsid w:val="0DB54F84"/>
    <w:rsid w:val="0DB84465"/>
    <w:rsid w:val="0DBB2DE4"/>
    <w:rsid w:val="0DCC3AE8"/>
    <w:rsid w:val="0DD87842"/>
    <w:rsid w:val="0DDB2C34"/>
    <w:rsid w:val="0DDE2885"/>
    <w:rsid w:val="0DEF012A"/>
    <w:rsid w:val="0DF202E1"/>
    <w:rsid w:val="0DF53CE3"/>
    <w:rsid w:val="0E0961C5"/>
    <w:rsid w:val="0E0C6AA6"/>
    <w:rsid w:val="0E147898"/>
    <w:rsid w:val="0E264DDB"/>
    <w:rsid w:val="0E2F216B"/>
    <w:rsid w:val="0E327317"/>
    <w:rsid w:val="0E3352C6"/>
    <w:rsid w:val="0E3A5EE2"/>
    <w:rsid w:val="0E542F3B"/>
    <w:rsid w:val="0E5757F7"/>
    <w:rsid w:val="0E591BF0"/>
    <w:rsid w:val="0E6271DF"/>
    <w:rsid w:val="0E6438B9"/>
    <w:rsid w:val="0E78367D"/>
    <w:rsid w:val="0E81568A"/>
    <w:rsid w:val="0E903E3B"/>
    <w:rsid w:val="0E942250"/>
    <w:rsid w:val="0E963344"/>
    <w:rsid w:val="0E9E6E00"/>
    <w:rsid w:val="0EA40C1C"/>
    <w:rsid w:val="0EAA759E"/>
    <w:rsid w:val="0EAF381F"/>
    <w:rsid w:val="0EB72E4B"/>
    <w:rsid w:val="0ECE6156"/>
    <w:rsid w:val="0ED7627B"/>
    <w:rsid w:val="0EEC6F1D"/>
    <w:rsid w:val="0F0621F6"/>
    <w:rsid w:val="0F084F33"/>
    <w:rsid w:val="0F103291"/>
    <w:rsid w:val="0F15660A"/>
    <w:rsid w:val="0F1D0EA6"/>
    <w:rsid w:val="0F1D498B"/>
    <w:rsid w:val="0F22242C"/>
    <w:rsid w:val="0F2D0B0D"/>
    <w:rsid w:val="0F337178"/>
    <w:rsid w:val="0F3B15FC"/>
    <w:rsid w:val="0F41022A"/>
    <w:rsid w:val="0F56743B"/>
    <w:rsid w:val="0F60682C"/>
    <w:rsid w:val="0F661944"/>
    <w:rsid w:val="0F6763D9"/>
    <w:rsid w:val="0F715B2B"/>
    <w:rsid w:val="0F744211"/>
    <w:rsid w:val="0F764270"/>
    <w:rsid w:val="0F7F273F"/>
    <w:rsid w:val="0F7F7919"/>
    <w:rsid w:val="0F8418ED"/>
    <w:rsid w:val="0F854A43"/>
    <w:rsid w:val="0F8B3A90"/>
    <w:rsid w:val="0F957B47"/>
    <w:rsid w:val="0F98796C"/>
    <w:rsid w:val="0F9F6FA4"/>
    <w:rsid w:val="0FA20284"/>
    <w:rsid w:val="0FA65D5C"/>
    <w:rsid w:val="0FAA75F1"/>
    <w:rsid w:val="0FAD33DA"/>
    <w:rsid w:val="0FAD71D4"/>
    <w:rsid w:val="0FBE2A42"/>
    <w:rsid w:val="0FC17CCE"/>
    <w:rsid w:val="0FC424B9"/>
    <w:rsid w:val="0FCB3854"/>
    <w:rsid w:val="0FCC3C6A"/>
    <w:rsid w:val="0FD576BA"/>
    <w:rsid w:val="0FD70565"/>
    <w:rsid w:val="0FE928D1"/>
    <w:rsid w:val="0FEC680C"/>
    <w:rsid w:val="0FFD688F"/>
    <w:rsid w:val="0FFF0BF3"/>
    <w:rsid w:val="10007AD6"/>
    <w:rsid w:val="101B1E8A"/>
    <w:rsid w:val="101C4A03"/>
    <w:rsid w:val="101D0C86"/>
    <w:rsid w:val="10320BC0"/>
    <w:rsid w:val="104A023B"/>
    <w:rsid w:val="104B6A1B"/>
    <w:rsid w:val="10501493"/>
    <w:rsid w:val="10505F3B"/>
    <w:rsid w:val="10677613"/>
    <w:rsid w:val="106D2686"/>
    <w:rsid w:val="107407B6"/>
    <w:rsid w:val="10786F12"/>
    <w:rsid w:val="107C3E2C"/>
    <w:rsid w:val="107D41AE"/>
    <w:rsid w:val="108C2479"/>
    <w:rsid w:val="10B3132B"/>
    <w:rsid w:val="10B367A8"/>
    <w:rsid w:val="10C715C5"/>
    <w:rsid w:val="10D335EF"/>
    <w:rsid w:val="10E255A6"/>
    <w:rsid w:val="10E746EA"/>
    <w:rsid w:val="10E83FE0"/>
    <w:rsid w:val="10EC3168"/>
    <w:rsid w:val="10F02A44"/>
    <w:rsid w:val="10F52718"/>
    <w:rsid w:val="10F70AE6"/>
    <w:rsid w:val="10F80ADC"/>
    <w:rsid w:val="111071DE"/>
    <w:rsid w:val="11123EF8"/>
    <w:rsid w:val="11124F2E"/>
    <w:rsid w:val="11125358"/>
    <w:rsid w:val="111F38A5"/>
    <w:rsid w:val="111F6CBE"/>
    <w:rsid w:val="112D2A42"/>
    <w:rsid w:val="112D7B86"/>
    <w:rsid w:val="113A22DB"/>
    <w:rsid w:val="114028DC"/>
    <w:rsid w:val="11441C15"/>
    <w:rsid w:val="11583891"/>
    <w:rsid w:val="1159252B"/>
    <w:rsid w:val="1160765D"/>
    <w:rsid w:val="116F1EB0"/>
    <w:rsid w:val="11727495"/>
    <w:rsid w:val="117A242E"/>
    <w:rsid w:val="117B1D6A"/>
    <w:rsid w:val="117C2D9D"/>
    <w:rsid w:val="117F159E"/>
    <w:rsid w:val="11821DC9"/>
    <w:rsid w:val="11824A0F"/>
    <w:rsid w:val="11897A08"/>
    <w:rsid w:val="11921373"/>
    <w:rsid w:val="119A72EE"/>
    <w:rsid w:val="119D7849"/>
    <w:rsid w:val="11A61272"/>
    <w:rsid w:val="11A615EE"/>
    <w:rsid w:val="11A658F4"/>
    <w:rsid w:val="11B16FA5"/>
    <w:rsid w:val="11B91A57"/>
    <w:rsid w:val="11BA3FAE"/>
    <w:rsid w:val="11C67B8F"/>
    <w:rsid w:val="11CE730E"/>
    <w:rsid w:val="11D815C4"/>
    <w:rsid w:val="11D85BD5"/>
    <w:rsid w:val="11E57D4F"/>
    <w:rsid w:val="11EE7275"/>
    <w:rsid w:val="11F40833"/>
    <w:rsid w:val="11F92DAB"/>
    <w:rsid w:val="11FB6DE4"/>
    <w:rsid w:val="11FC38D5"/>
    <w:rsid w:val="11FD37F5"/>
    <w:rsid w:val="120F1E38"/>
    <w:rsid w:val="1210682D"/>
    <w:rsid w:val="122215D3"/>
    <w:rsid w:val="122510AD"/>
    <w:rsid w:val="122F0F93"/>
    <w:rsid w:val="123A05DB"/>
    <w:rsid w:val="124240B9"/>
    <w:rsid w:val="12491684"/>
    <w:rsid w:val="124D0988"/>
    <w:rsid w:val="124E44B4"/>
    <w:rsid w:val="126532DD"/>
    <w:rsid w:val="12680E73"/>
    <w:rsid w:val="12763466"/>
    <w:rsid w:val="127C144F"/>
    <w:rsid w:val="127E5AA6"/>
    <w:rsid w:val="12811F99"/>
    <w:rsid w:val="128B2749"/>
    <w:rsid w:val="128E1E81"/>
    <w:rsid w:val="129019B5"/>
    <w:rsid w:val="129811DB"/>
    <w:rsid w:val="129937EE"/>
    <w:rsid w:val="129E6282"/>
    <w:rsid w:val="129F3A3A"/>
    <w:rsid w:val="12AA7237"/>
    <w:rsid w:val="12AB7A32"/>
    <w:rsid w:val="12BB6535"/>
    <w:rsid w:val="12C7312B"/>
    <w:rsid w:val="12D22971"/>
    <w:rsid w:val="12D469A6"/>
    <w:rsid w:val="12D85654"/>
    <w:rsid w:val="12DF4A87"/>
    <w:rsid w:val="12E265EC"/>
    <w:rsid w:val="12E706B5"/>
    <w:rsid w:val="12EB0B16"/>
    <w:rsid w:val="12EE5106"/>
    <w:rsid w:val="12F777F2"/>
    <w:rsid w:val="1307341C"/>
    <w:rsid w:val="130C40FE"/>
    <w:rsid w:val="130E3629"/>
    <w:rsid w:val="13125197"/>
    <w:rsid w:val="131B39DD"/>
    <w:rsid w:val="13283BA4"/>
    <w:rsid w:val="13332F77"/>
    <w:rsid w:val="13334E1C"/>
    <w:rsid w:val="13346EE4"/>
    <w:rsid w:val="13354BA1"/>
    <w:rsid w:val="13384952"/>
    <w:rsid w:val="134B49D4"/>
    <w:rsid w:val="1355107F"/>
    <w:rsid w:val="135D4D2E"/>
    <w:rsid w:val="1366638D"/>
    <w:rsid w:val="1369011A"/>
    <w:rsid w:val="136D76E8"/>
    <w:rsid w:val="137266E0"/>
    <w:rsid w:val="13811975"/>
    <w:rsid w:val="138559AC"/>
    <w:rsid w:val="138F3C22"/>
    <w:rsid w:val="139D3156"/>
    <w:rsid w:val="13A50F41"/>
    <w:rsid w:val="13A825CD"/>
    <w:rsid w:val="13AA5FA1"/>
    <w:rsid w:val="13C20262"/>
    <w:rsid w:val="13D024B3"/>
    <w:rsid w:val="13D115EF"/>
    <w:rsid w:val="13D86A45"/>
    <w:rsid w:val="13DD445E"/>
    <w:rsid w:val="13DE7C83"/>
    <w:rsid w:val="13E20C66"/>
    <w:rsid w:val="13FD073F"/>
    <w:rsid w:val="14001419"/>
    <w:rsid w:val="140171D9"/>
    <w:rsid w:val="1405674E"/>
    <w:rsid w:val="140662E7"/>
    <w:rsid w:val="140815BB"/>
    <w:rsid w:val="14087FC1"/>
    <w:rsid w:val="14095006"/>
    <w:rsid w:val="141C71BE"/>
    <w:rsid w:val="141E583B"/>
    <w:rsid w:val="1424615D"/>
    <w:rsid w:val="142C143A"/>
    <w:rsid w:val="142E1345"/>
    <w:rsid w:val="14355342"/>
    <w:rsid w:val="144C1C02"/>
    <w:rsid w:val="144D63F0"/>
    <w:rsid w:val="145103FA"/>
    <w:rsid w:val="145F07C7"/>
    <w:rsid w:val="14601908"/>
    <w:rsid w:val="14632D00"/>
    <w:rsid w:val="146B69A8"/>
    <w:rsid w:val="146C5189"/>
    <w:rsid w:val="146F1089"/>
    <w:rsid w:val="147B4C11"/>
    <w:rsid w:val="14816B50"/>
    <w:rsid w:val="148313F4"/>
    <w:rsid w:val="1485665F"/>
    <w:rsid w:val="14934F1A"/>
    <w:rsid w:val="149559C4"/>
    <w:rsid w:val="149D71D6"/>
    <w:rsid w:val="149E3770"/>
    <w:rsid w:val="14A13FBC"/>
    <w:rsid w:val="14A67171"/>
    <w:rsid w:val="14AA71CB"/>
    <w:rsid w:val="14AC0C32"/>
    <w:rsid w:val="14B2463E"/>
    <w:rsid w:val="14B57287"/>
    <w:rsid w:val="14B602D5"/>
    <w:rsid w:val="14C45576"/>
    <w:rsid w:val="14C76D6C"/>
    <w:rsid w:val="14CE33C4"/>
    <w:rsid w:val="14D60E60"/>
    <w:rsid w:val="14DA3DA1"/>
    <w:rsid w:val="14E60B42"/>
    <w:rsid w:val="14E75E9B"/>
    <w:rsid w:val="14EA1C4D"/>
    <w:rsid w:val="14EF0267"/>
    <w:rsid w:val="14FB736A"/>
    <w:rsid w:val="150222BF"/>
    <w:rsid w:val="150F7C33"/>
    <w:rsid w:val="151178FC"/>
    <w:rsid w:val="1515004B"/>
    <w:rsid w:val="151B7C99"/>
    <w:rsid w:val="15207BBA"/>
    <w:rsid w:val="15222DA1"/>
    <w:rsid w:val="15256B65"/>
    <w:rsid w:val="152F4E1B"/>
    <w:rsid w:val="15355FA8"/>
    <w:rsid w:val="154806E1"/>
    <w:rsid w:val="154D342A"/>
    <w:rsid w:val="15581ED5"/>
    <w:rsid w:val="1559587F"/>
    <w:rsid w:val="155E7DEC"/>
    <w:rsid w:val="15740334"/>
    <w:rsid w:val="1574662E"/>
    <w:rsid w:val="15751882"/>
    <w:rsid w:val="1575191B"/>
    <w:rsid w:val="157818C6"/>
    <w:rsid w:val="159F73BB"/>
    <w:rsid w:val="15A502D0"/>
    <w:rsid w:val="15AD52A1"/>
    <w:rsid w:val="15B03F28"/>
    <w:rsid w:val="15C15E25"/>
    <w:rsid w:val="15C42571"/>
    <w:rsid w:val="15E30A80"/>
    <w:rsid w:val="15F21B9E"/>
    <w:rsid w:val="15FD2FA2"/>
    <w:rsid w:val="16021A7C"/>
    <w:rsid w:val="1608480E"/>
    <w:rsid w:val="161C1C58"/>
    <w:rsid w:val="162B27CD"/>
    <w:rsid w:val="162D7415"/>
    <w:rsid w:val="162F7556"/>
    <w:rsid w:val="16347AD6"/>
    <w:rsid w:val="163814FD"/>
    <w:rsid w:val="163A6AD4"/>
    <w:rsid w:val="16413A3A"/>
    <w:rsid w:val="1644500C"/>
    <w:rsid w:val="16461A95"/>
    <w:rsid w:val="16594F06"/>
    <w:rsid w:val="165A38E6"/>
    <w:rsid w:val="166C5DB6"/>
    <w:rsid w:val="166F5E80"/>
    <w:rsid w:val="16766A92"/>
    <w:rsid w:val="167A52A9"/>
    <w:rsid w:val="167B20D8"/>
    <w:rsid w:val="167B7B40"/>
    <w:rsid w:val="167C6594"/>
    <w:rsid w:val="167F70BF"/>
    <w:rsid w:val="16833ACA"/>
    <w:rsid w:val="16866882"/>
    <w:rsid w:val="16872167"/>
    <w:rsid w:val="16895E32"/>
    <w:rsid w:val="168F3273"/>
    <w:rsid w:val="168F69F2"/>
    <w:rsid w:val="169865AE"/>
    <w:rsid w:val="169C7FDE"/>
    <w:rsid w:val="16A4319F"/>
    <w:rsid w:val="16AC4DDB"/>
    <w:rsid w:val="16AE2FE3"/>
    <w:rsid w:val="16B23908"/>
    <w:rsid w:val="16B4400E"/>
    <w:rsid w:val="16C16240"/>
    <w:rsid w:val="16C71372"/>
    <w:rsid w:val="16C739DF"/>
    <w:rsid w:val="16C7500B"/>
    <w:rsid w:val="16C86CDB"/>
    <w:rsid w:val="16CC2B4C"/>
    <w:rsid w:val="16DD3B26"/>
    <w:rsid w:val="16E73506"/>
    <w:rsid w:val="16EB6E00"/>
    <w:rsid w:val="16EE7649"/>
    <w:rsid w:val="16F04615"/>
    <w:rsid w:val="16FD2447"/>
    <w:rsid w:val="17031772"/>
    <w:rsid w:val="1712339A"/>
    <w:rsid w:val="171E63FC"/>
    <w:rsid w:val="1722504D"/>
    <w:rsid w:val="17306175"/>
    <w:rsid w:val="1738730F"/>
    <w:rsid w:val="17416499"/>
    <w:rsid w:val="17481B81"/>
    <w:rsid w:val="17481E8B"/>
    <w:rsid w:val="174A69B0"/>
    <w:rsid w:val="175007ED"/>
    <w:rsid w:val="175D7538"/>
    <w:rsid w:val="17605E9B"/>
    <w:rsid w:val="17611CB8"/>
    <w:rsid w:val="176B45C6"/>
    <w:rsid w:val="176C447F"/>
    <w:rsid w:val="1772148A"/>
    <w:rsid w:val="17850F99"/>
    <w:rsid w:val="17875303"/>
    <w:rsid w:val="178815C4"/>
    <w:rsid w:val="17891C0B"/>
    <w:rsid w:val="178D6E7A"/>
    <w:rsid w:val="178F2F4E"/>
    <w:rsid w:val="1793626E"/>
    <w:rsid w:val="17991452"/>
    <w:rsid w:val="17A875F5"/>
    <w:rsid w:val="17B5256D"/>
    <w:rsid w:val="17B52BE2"/>
    <w:rsid w:val="17B92501"/>
    <w:rsid w:val="17C809DF"/>
    <w:rsid w:val="17DE2FB7"/>
    <w:rsid w:val="17E47B20"/>
    <w:rsid w:val="17E65848"/>
    <w:rsid w:val="17E66DD8"/>
    <w:rsid w:val="17E84839"/>
    <w:rsid w:val="17EE1403"/>
    <w:rsid w:val="17F25234"/>
    <w:rsid w:val="17F32DB7"/>
    <w:rsid w:val="17F33DC6"/>
    <w:rsid w:val="17F45149"/>
    <w:rsid w:val="17FD061B"/>
    <w:rsid w:val="17FD20FD"/>
    <w:rsid w:val="17FF6314"/>
    <w:rsid w:val="18005F41"/>
    <w:rsid w:val="18025414"/>
    <w:rsid w:val="18171305"/>
    <w:rsid w:val="1820454C"/>
    <w:rsid w:val="1829280B"/>
    <w:rsid w:val="18327337"/>
    <w:rsid w:val="18334194"/>
    <w:rsid w:val="183E1D37"/>
    <w:rsid w:val="1840126B"/>
    <w:rsid w:val="1846724A"/>
    <w:rsid w:val="184A22E6"/>
    <w:rsid w:val="184D0787"/>
    <w:rsid w:val="185D1883"/>
    <w:rsid w:val="185E3AA1"/>
    <w:rsid w:val="185F15CF"/>
    <w:rsid w:val="18717152"/>
    <w:rsid w:val="18812331"/>
    <w:rsid w:val="18816F1C"/>
    <w:rsid w:val="18847050"/>
    <w:rsid w:val="18853F3E"/>
    <w:rsid w:val="188F3639"/>
    <w:rsid w:val="189252B6"/>
    <w:rsid w:val="18956393"/>
    <w:rsid w:val="189C5943"/>
    <w:rsid w:val="18A8582C"/>
    <w:rsid w:val="18B135C0"/>
    <w:rsid w:val="18B50543"/>
    <w:rsid w:val="18CA40C3"/>
    <w:rsid w:val="18CD7A02"/>
    <w:rsid w:val="18D904AC"/>
    <w:rsid w:val="18DC1AEF"/>
    <w:rsid w:val="18DF5689"/>
    <w:rsid w:val="18EA3EC7"/>
    <w:rsid w:val="18F74015"/>
    <w:rsid w:val="19001FFC"/>
    <w:rsid w:val="19002350"/>
    <w:rsid w:val="19083894"/>
    <w:rsid w:val="190E2B4A"/>
    <w:rsid w:val="19254172"/>
    <w:rsid w:val="19256D7A"/>
    <w:rsid w:val="193275C2"/>
    <w:rsid w:val="19342CF4"/>
    <w:rsid w:val="193A500F"/>
    <w:rsid w:val="193B3E86"/>
    <w:rsid w:val="19463A75"/>
    <w:rsid w:val="194D2005"/>
    <w:rsid w:val="19520B39"/>
    <w:rsid w:val="19655A52"/>
    <w:rsid w:val="19663168"/>
    <w:rsid w:val="197724BD"/>
    <w:rsid w:val="19786B0A"/>
    <w:rsid w:val="198A41A1"/>
    <w:rsid w:val="199A2059"/>
    <w:rsid w:val="19AE76C7"/>
    <w:rsid w:val="19B46E10"/>
    <w:rsid w:val="19C456C1"/>
    <w:rsid w:val="19CC2AA0"/>
    <w:rsid w:val="19E24986"/>
    <w:rsid w:val="19E256B5"/>
    <w:rsid w:val="19E54655"/>
    <w:rsid w:val="19F061A1"/>
    <w:rsid w:val="19F81E45"/>
    <w:rsid w:val="1A054259"/>
    <w:rsid w:val="1A081816"/>
    <w:rsid w:val="1A0C5680"/>
    <w:rsid w:val="1A165171"/>
    <w:rsid w:val="1A3068A4"/>
    <w:rsid w:val="1A410451"/>
    <w:rsid w:val="1A4858FF"/>
    <w:rsid w:val="1A4C698A"/>
    <w:rsid w:val="1A4D778D"/>
    <w:rsid w:val="1A5D5219"/>
    <w:rsid w:val="1A5E4B5A"/>
    <w:rsid w:val="1A672B1C"/>
    <w:rsid w:val="1A7070DD"/>
    <w:rsid w:val="1A805F1C"/>
    <w:rsid w:val="1A8301C0"/>
    <w:rsid w:val="1A872248"/>
    <w:rsid w:val="1A8824C5"/>
    <w:rsid w:val="1A9B2279"/>
    <w:rsid w:val="1A9D1677"/>
    <w:rsid w:val="1A9E6232"/>
    <w:rsid w:val="1AA57BA7"/>
    <w:rsid w:val="1AA74D3D"/>
    <w:rsid w:val="1AB34DB4"/>
    <w:rsid w:val="1AB613FD"/>
    <w:rsid w:val="1AB64B19"/>
    <w:rsid w:val="1AB73747"/>
    <w:rsid w:val="1AC03C10"/>
    <w:rsid w:val="1ACF5EB8"/>
    <w:rsid w:val="1AD26086"/>
    <w:rsid w:val="1ADD5ACE"/>
    <w:rsid w:val="1AE013F8"/>
    <w:rsid w:val="1AE8570C"/>
    <w:rsid w:val="1AF7297B"/>
    <w:rsid w:val="1AF97DCC"/>
    <w:rsid w:val="1AFB06A3"/>
    <w:rsid w:val="1B062896"/>
    <w:rsid w:val="1B0F19AE"/>
    <w:rsid w:val="1B141BBC"/>
    <w:rsid w:val="1B2160BB"/>
    <w:rsid w:val="1B3637AD"/>
    <w:rsid w:val="1B3E0DB5"/>
    <w:rsid w:val="1B454C94"/>
    <w:rsid w:val="1B454E69"/>
    <w:rsid w:val="1B5C1145"/>
    <w:rsid w:val="1B5D79CB"/>
    <w:rsid w:val="1B6B769D"/>
    <w:rsid w:val="1B6C0DF0"/>
    <w:rsid w:val="1B7F6005"/>
    <w:rsid w:val="1B874E63"/>
    <w:rsid w:val="1B9C269A"/>
    <w:rsid w:val="1B9E64C5"/>
    <w:rsid w:val="1B9E6D4C"/>
    <w:rsid w:val="1BB07CEA"/>
    <w:rsid w:val="1BBD43BA"/>
    <w:rsid w:val="1BC01115"/>
    <w:rsid w:val="1BC44015"/>
    <w:rsid w:val="1BC96DA5"/>
    <w:rsid w:val="1BCA6284"/>
    <w:rsid w:val="1BCC6C47"/>
    <w:rsid w:val="1BE32C74"/>
    <w:rsid w:val="1BF72906"/>
    <w:rsid w:val="1BFB481C"/>
    <w:rsid w:val="1BFE5FF9"/>
    <w:rsid w:val="1BFE7B2D"/>
    <w:rsid w:val="1C013494"/>
    <w:rsid w:val="1C053414"/>
    <w:rsid w:val="1C132CB9"/>
    <w:rsid w:val="1C1642A1"/>
    <w:rsid w:val="1C2146C5"/>
    <w:rsid w:val="1C240174"/>
    <w:rsid w:val="1C273D33"/>
    <w:rsid w:val="1C4032AB"/>
    <w:rsid w:val="1C4672ED"/>
    <w:rsid w:val="1C467AB6"/>
    <w:rsid w:val="1C591347"/>
    <w:rsid w:val="1C6277A9"/>
    <w:rsid w:val="1C7100AE"/>
    <w:rsid w:val="1C750818"/>
    <w:rsid w:val="1C7F54CE"/>
    <w:rsid w:val="1C7F743F"/>
    <w:rsid w:val="1C8C4AA9"/>
    <w:rsid w:val="1C8C604B"/>
    <w:rsid w:val="1C8F53D9"/>
    <w:rsid w:val="1C92160B"/>
    <w:rsid w:val="1C973EEF"/>
    <w:rsid w:val="1C9B77F5"/>
    <w:rsid w:val="1C9E22B6"/>
    <w:rsid w:val="1CA03243"/>
    <w:rsid w:val="1CAC112E"/>
    <w:rsid w:val="1CAF5DB2"/>
    <w:rsid w:val="1CB40DF1"/>
    <w:rsid w:val="1CB86812"/>
    <w:rsid w:val="1CB93C74"/>
    <w:rsid w:val="1CC11084"/>
    <w:rsid w:val="1CC71DD3"/>
    <w:rsid w:val="1CCC26CA"/>
    <w:rsid w:val="1CD2156B"/>
    <w:rsid w:val="1CD41743"/>
    <w:rsid w:val="1CD44D3D"/>
    <w:rsid w:val="1CD77F43"/>
    <w:rsid w:val="1CDA4887"/>
    <w:rsid w:val="1CE45EF5"/>
    <w:rsid w:val="1CE615C9"/>
    <w:rsid w:val="1CED1E7E"/>
    <w:rsid w:val="1D037029"/>
    <w:rsid w:val="1D0A6B98"/>
    <w:rsid w:val="1D227612"/>
    <w:rsid w:val="1D3305FF"/>
    <w:rsid w:val="1D395282"/>
    <w:rsid w:val="1D40749C"/>
    <w:rsid w:val="1D4251BA"/>
    <w:rsid w:val="1D4E4F63"/>
    <w:rsid w:val="1D5A65E9"/>
    <w:rsid w:val="1D5B2FF2"/>
    <w:rsid w:val="1D5F5386"/>
    <w:rsid w:val="1D70348C"/>
    <w:rsid w:val="1D7072CE"/>
    <w:rsid w:val="1D794A16"/>
    <w:rsid w:val="1D80759A"/>
    <w:rsid w:val="1D8A021B"/>
    <w:rsid w:val="1D935671"/>
    <w:rsid w:val="1D9E30A9"/>
    <w:rsid w:val="1DAB1006"/>
    <w:rsid w:val="1DAB2A0A"/>
    <w:rsid w:val="1DB33C11"/>
    <w:rsid w:val="1DC65562"/>
    <w:rsid w:val="1DD34749"/>
    <w:rsid w:val="1DDD201B"/>
    <w:rsid w:val="1DE94164"/>
    <w:rsid w:val="1DEE1B11"/>
    <w:rsid w:val="1DEF316F"/>
    <w:rsid w:val="1E105A20"/>
    <w:rsid w:val="1E164B52"/>
    <w:rsid w:val="1E26583C"/>
    <w:rsid w:val="1E273844"/>
    <w:rsid w:val="1E2945B6"/>
    <w:rsid w:val="1E2F243E"/>
    <w:rsid w:val="1E3B4F6B"/>
    <w:rsid w:val="1E455D19"/>
    <w:rsid w:val="1E595CAF"/>
    <w:rsid w:val="1E5C31E8"/>
    <w:rsid w:val="1E6607F9"/>
    <w:rsid w:val="1E691070"/>
    <w:rsid w:val="1E7E6BFD"/>
    <w:rsid w:val="1E805396"/>
    <w:rsid w:val="1E821B53"/>
    <w:rsid w:val="1E884F62"/>
    <w:rsid w:val="1E8D685D"/>
    <w:rsid w:val="1E9D6342"/>
    <w:rsid w:val="1E9D6D15"/>
    <w:rsid w:val="1EA7402F"/>
    <w:rsid w:val="1EA77730"/>
    <w:rsid w:val="1EA80D43"/>
    <w:rsid w:val="1EBC3647"/>
    <w:rsid w:val="1EBD1EAD"/>
    <w:rsid w:val="1EC36E9D"/>
    <w:rsid w:val="1EE25FDD"/>
    <w:rsid w:val="1EEF7878"/>
    <w:rsid w:val="1EF5103F"/>
    <w:rsid w:val="1EF86BDC"/>
    <w:rsid w:val="1EFF621F"/>
    <w:rsid w:val="1F001DEB"/>
    <w:rsid w:val="1F090F9B"/>
    <w:rsid w:val="1F0A0088"/>
    <w:rsid w:val="1F0E5D6B"/>
    <w:rsid w:val="1F0F2943"/>
    <w:rsid w:val="1F1420D0"/>
    <w:rsid w:val="1F194C88"/>
    <w:rsid w:val="1F323C57"/>
    <w:rsid w:val="1F343977"/>
    <w:rsid w:val="1F3E662A"/>
    <w:rsid w:val="1F4D4715"/>
    <w:rsid w:val="1F4F2219"/>
    <w:rsid w:val="1F614D01"/>
    <w:rsid w:val="1F721405"/>
    <w:rsid w:val="1F935819"/>
    <w:rsid w:val="1FA036A3"/>
    <w:rsid w:val="1FA628A2"/>
    <w:rsid w:val="1FA6556D"/>
    <w:rsid w:val="1FA73A37"/>
    <w:rsid w:val="1FAF2571"/>
    <w:rsid w:val="1FB33036"/>
    <w:rsid w:val="1FC55EDA"/>
    <w:rsid w:val="1FC658C9"/>
    <w:rsid w:val="1FCE593C"/>
    <w:rsid w:val="1FE312AC"/>
    <w:rsid w:val="1FEC5915"/>
    <w:rsid w:val="1FED32EF"/>
    <w:rsid w:val="1FF82884"/>
    <w:rsid w:val="200079F9"/>
    <w:rsid w:val="201E6D7C"/>
    <w:rsid w:val="20446081"/>
    <w:rsid w:val="204852AD"/>
    <w:rsid w:val="204A5E48"/>
    <w:rsid w:val="204A6449"/>
    <w:rsid w:val="204E6676"/>
    <w:rsid w:val="20523B02"/>
    <w:rsid w:val="20580C17"/>
    <w:rsid w:val="20595924"/>
    <w:rsid w:val="205A5AA0"/>
    <w:rsid w:val="206408C4"/>
    <w:rsid w:val="20773A28"/>
    <w:rsid w:val="208574F4"/>
    <w:rsid w:val="20872047"/>
    <w:rsid w:val="2089606E"/>
    <w:rsid w:val="208C4449"/>
    <w:rsid w:val="208F6BAF"/>
    <w:rsid w:val="209414DB"/>
    <w:rsid w:val="20A462BA"/>
    <w:rsid w:val="20BF2AAC"/>
    <w:rsid w:val="20C849C7"/>
    <w:rsid w:val="20DF66D2"/>
    <w:rsid w:val="20EC3F2E"/>
    <w:rsid w:val="20EC7C3E"/>
    <w:rsid w:val="20F07537"/>
    <w:rsid w:val="20FA77BC"/>
    <w:rsid w:val="210548E9"/>
    <w:rsid w:val="210C336C"/>
    <w:rsid w:val="210D14B3"/>
    <w:rsid w:val="21124D15"/>
    <w:rsid w:val="21164A79"/>
    <w:rsid w:val="211C7DEA"/>
    <w:rsid w:val="21332BF6"/>
    <w:rsid w:val="213B13E1"/>
    <w:rsid w:val="213E7119"/>
    <w:rsid w:val="21401C29"/>
    <w:rsid w:val="21530058"/>
    <w:rsid w:val="21567D84"/>
    <w:rsid w:val="216608E3"/>
    <w:rsid w:val="21675117"/>
    <w:rsid w:val="21810744"/>
    <w:rsid w:val="218D6EF5"/>
    <w:rsid w:val="2195668B"/>
    <w:rsid w:val="219F69EC"/>
    <w:rsid w:val="21A130EA"/>
    <w:rsid w:val="21B405F8"/>
    <w:rsid w:val="21B5366A"/>
    <w:rsid w:val="21C267BF"/>
    <w:rsid w:val="21C67C42"/>
    <w:rsid w:val="21CB6217"/>
    <w:rsid w:val="21CD6BCD"/>
    <w:rsid w:val="21CE6067"/>
    <w:rsid w:val="21CF439A"/>
    <w:rsid w:val="21D824E4"/>
    <w:rsid w:val="21E35D49"/>
    <w:rsid w:val="21F00127"/>
    <w:rsid w:val="21F7745C"/>
    <w:rsid w:val="22035C75"/>
    <w:rsid w:val="22106FD4"/>
    <w:rsid w:val="221D2FA3"/>
    <w:rsid w:val="2226635F"/>
    <w:rsid w:val="222D4F0B"/>
    <w:rsid w:val="223A29CF"/>
    <w:rsid w:val="223D7545"/>
    <w:rsid w:val="22411D14"/>
    <w:rsid w:val="22423BE1"/>
    <w:rsid w:val="22454449"/>
    <w:rsid w:val="22500810"/>
    <w:rsid w:val="22596EC8"/>
    <w:rsid w:val="226347BD"/>
    <w:rsid w:val="22682935"/>
    <w:rsid w:val="226D3C33"/>
    <w:rsid w:val="226E0A7E"/>
    <w:rsid w:val="227E0D30"/>
    <w:rsid w:val="227E7CD6"/>
    <w:rsid w:val="228A4698"/>
    <w:rsid w:val="22914245"/>
    <w:rsid w:val="22925971"/>
    <w:rsid w:val="22945167"/>
    <w:rsid w:val="229B0BE2"/>
    <w:rsid w:val="22A55CD5"/>
    <w:rsid w:val="22C558BB"/>
    <w:rsid w:val="22C74EE2"/>
    <w:rsid w:val="22CA188A"/>
    <w:rsid w:val="22CB6237"/>
    <w:rsid w:val="22CD14B5"/>
    <w:rsid w:val="22E02C6E"/>
    <w:rsid w:val="22E04FF4"/>
    <w:rsid w:val="22E1121B"/>
    <w:rsid w:val="22EA4C70"/>
    <w:rsid w:val="22F15AB9"/>
    <w:rsid w:val="22F75251"/>
    <w:rsid w:val="22F7746D"/>
    <w:rsid w:val="22F86F75"/>
    <w:rsid w:val="22FB4D32"/>
    <w:rsid w:val="22FC72E3"/>
    <w:rsid w:val="23131055"/>
    <w:rsid w:val="23146AC2"/>
    <w:rsid w:val="232C2DD6"/>
    <w:rsid w:val="233C6F76"/>
    <w:rsid w:val="234449F5"/>
    <w:rsid w:val="23536618"/>
    <w:rsid w:val="236C1BCA"/>
    <w:rsid w:val="237464D5"/>
    <w:rsid w:val="23812C99"/>
    <w:rsid w:val="23816932"/>
    <w:rsid w:val="238E01E4"/>
    <w:rsid w:val="23925D42"/>
    <w:rsid w:val="239C062C"/>
    <w:rsid w:val="23A9484E"/>
    <w:rsid w:val="23B32F98"/>
    <w:rsid w:val="23B84268"/>
    <w:rsid w:val="23D17D7B"/>
    <w:rsid w:val="23D36D91"/>
    <w:rsid w:val="23E02099"/>
    <w:rsid w:val="23E65AD0"/>
    <w:rsid w:val="23EF1757"/>
    <w:rsid w:val="23F70BA5"/>
    <w:rsid w:val="23F93D0D"/>
    <w:rsid w:val="2405417E"/>
    <w:rsid w:val="24197365"/>
    <w:rsid w:val="241B5C62"/>
    <w:rsid w:val="242A4D36"/>
    <w:rsid w:val="242A56EB"/>
    <w:rsid w:val="24312CB0"/>
    <w:rsid w:val="243A6CBE"/>
    <w:rsid w:val="24513B48"/>
    <w:rsid w:val="2458381E"/>
    <w:rsid w:val="245872F9"/>
    <w:rsid w:val="245943D9"/>
    <w:rsid w:val="245E6B64"/>
    <w:rsid w:val="2463385E"/>
    <w:rsid w:val="246B2606"/>
    <w:rsid w:val="24767C7B"/>
    <w:rsid w:val="247C178B"/>
    <w:rsid w:val="247E39CA"/>
    <w:rsid w:val="24861BCE"/>
    <w:rsid w:val="2486388F"/>
    <w:rsid w:val="24967323"/>
    <w:rsid w:val="249D5FC8"/>
    <w:rsid w:val="24A1538E"/>
    <w:rsid w:val="24B9450F"/>
    <w:rsid w:val="24C25350"/>
    <w:rsid w:val="24C83F94"/>
    <w:rsid w:val="24D82EE2"/>
    <w:rsid w:val="24F60CDA"/>
    <w:rsid w:val="24FE42EB"/>
    <w:rsid w:val="25090336"/>
    <w:rsid w:val="250D450C"/>
    <w:rsid w:val="25134332"/>
    <w:rsid w:val="25141A5B"/>
    <w:rsid w:val="2521546A"/>
    <w:rsid w:val="252242ED"/>
    <w:rsid w:val="252A2BA6"/>
    <w:rsid w:val="252B49E0"/>
    <w:rsid w:val="252D3CC1"/>
    <w:rsid w:val="254A35DD"/>
    <w:rsid w:val="255D45FE"/>
    <w:rsid w:val="25657E8F"/>
    <w:rsid w:val="256658A2"/>
    <w:rsid w:val="25691F8B"/>
    <w:rsid w:val="256C13EF"/>
    <w:rsid w:val="256E76DE"/>
    <w:rsid w:val="25733F7D"/>
    <w:rsid w:val="25734B61"/>
    <w:rsid w:val="257632D6"/>
    <w:rsid w:val="25855673"/>
    <w:rsid w:val="258F6BC4"/>
    <w:rsid w:val="2597510C"/>
    <w:rsid w:val="25975923"/>
    <w:rsid w:val="259A3D0A"/>
    <w:rsid w:val="25A95F3E"/>
    <w:rsid w:val="25BD12A6"/>
    <w:rsid w:val="25BF0CF9"/>
    <w:rsid w:val="25BF6041"/>
    <w:rsid w:val="25C35718"/>
    <w:rsid w:val="25C61D8C"/>
    <w:rsid w:val="25CF0252"/>
    <w:rsid w:val="25D0248E"/>
    <w:rsid w:val="25D61C5C"/>
    <w:rsid w:val="25F81D70"/>
    <w:rsid w:val="25FB5636"/>
    <w:rsid w:val="25FE58A9"/>
    <w:rsid w:val="26006FFE"/>
    <w:rsid w:val="26026DCF"/>
    <w:rsid w:val="26070462"/>
    <w:rsid w:val="260D2C45"/>
    <w:rsid w:val="261B63E3"/>
    <w:rsid w:val="262519C1"/>
    <w:rsid w:val="262E3CBF"/>
    <w:rsid w:val="26395C92"/>
    <w:rsid w:val="2641231E"/>
    <w:rsid w:val="264252DF"/>
    <w:rsid w:val="26465DA0"/>
    <w:rsid w:val="26562F1C"/>
    <w:rsid w:val="26577EF5"/>
    <w:rsid w:val="265A5249"/>
    <w:rsid w:val="265C53CB"/>
    <w:rsid w:val="266237C3"/>
    <w:rsid w:val="266C1436"/>
    <w:rsid w:val="267550B9"/>
    <w:rsid w:val="26996DAE"/>
    <w:rsid w:val="26BE1846"/>
    <w:rsid w:val="26C472EC"/>
    <w:rsid w:val="26E51F4F"/>
    <w:rsid w:val="26E83216"/>
    <w:rsid w:val="26EC491A"/>
    <w:rsid w:val="26ED73E1"/>
    <w:rsid w:val="26F503CD"/>
    <w:rsid w:val="27036506"/>
    <w:rsid w:val="27047832"/>
    <w:rsid w:val="2706037D"/>
    <w:rsid w:val="27077793"/>
    <w:rsid w:val="270D152E"/>
    <w:rsid w:val="271436A9"/>
    <w:rsid w:val="27204B5D"/>
    <w:rsid w:val="27257DE1"/>
    <w:rsid w:val="272F31A0"/>
    <w:rsid w:val="27310CAC"/>
    <w:rsid w:val="27342901"/>
    <w:rsid w:val="273D2762"/>
    <w:rsid w:val="27470B72"/>
    <w:rsid w:val="27525E32"/>
    <w:rsid w:val="27604751"/>
    <w:rsid w:val="276621B4"/>
    <w:rsid w:val="276D111F"/>
    <w:rsid w:val="2778582E"/>
    <w:rsid w:val="27806765"/>
    <w:rsid w:val="27821DE7"/>
    <w:rsid w:val="27832596"/>
    <w:rsid w:val="278C1620"/>
    <w:rsid w:val="279B1E53"/>
    <w:rsid w:val="279C5F0C"/>
    <w:rsid w:val="279E0177"/>
    <w:rsid w:val="27AA3521"/>
    <w:rsid w:val="27AB7429"/>
    <w:rsid w:val="27B10D86"/>
    <w:rsid w:val="27C0656B"/>
    <w:rsid w:val="27C57B2B"/>
    <w:rsid w:val="27C8029E"/>
    <w:rsid w:val="27CC78AC"/>
    <w:rsid w:val="27D72FE7"/>
    <w:rsid w:val="27D86029"/>
    <w:rsid w:val="27DD45ED"/>
    <w:rsid w:val="27E3651B"/>
    <w:rsid w:val="27E54AD0"/>
    <w:rsid w:val="27E864CC"/>
    <w:rsid w:val="27EC25E3"/>
    <w:rsid w:val="27ED0939"/>
    <w:rsid w:val="27F1498B"/>
    <w:rsid w:val="27F80CA0"/>
    <w:rsid w:val="28021134"/>
    <w:rsid w:val="2802750E"/>
    <w:rsid w:val="28027A71"/>
    <w:rsid w:val="281D5376"/>
    <w:rsid w:val="281F4F67"/>
    <w:rsid w:val="282857E6"/>
    <w:rsid w:val="28325770"/>
    <w:rsid w:val="283744B4"/>
    <w:rsid w:val="283E7768"/>
    <w:rsid w:val="28485D62"/>
    <w:rsid w:val="28517107"/>
    <w:rsid w:val="28524ABE"/>
    <w:rsid w:val="285560D7"/>
    <w:rsid w:val="286C77D1"/>
    <w:rsid w:val="286E74F1"/>
    <w:rsid w:val="28760CA0"/>
    <w:rsid w:val="287B218C"/>
    <w:rsid w:val="288A05DD"/>
    <w:rsid w:val="288C7637"/>
    <w:rsid w:val="28937D89"/>
    <w:rsid w:val="289B0550"/>
    <w:rsid w:val="28A044B5"/>
    <w:rsid w:val="28BD3F79"/>
    <w:rsid w:val="28C8606D"/>
    <w:rsid w:val="28C96C14"/>
    <w:rsid w:val="28DC6BC2"/>
    <w:rsid w:val="28DE11F1"/>
    <w:rsid w:val="28E138E3"/>
    <w:rsid w:val="28E74216"/>
    <w:rsid w:val="28E87EE4"/>
    <w:rsid w:val="28F61640"/>
    <w:rsid w:val="28FD484F"/>
    <w:rsid w:val="290212AC"/>
    <w:rsid w:val="2903396A"/>
    <w:rsid w:val="294E766A"/>
    <w:rsid w:val="2952590A"/>
    <w:rsid w:val="295545AF"/>
    <w:rsid w:val="29623F1E"/>
    <w:rsid w:val="297161D3"/>
    <w:rsid w:val="2978319A"/>
    <w:rsid w:val="29886D49"/>
    <w:rsid w:val="29897A2F"/>
    <w:rsid w:val="29A015B3"/>
    <w:rsid w:val="29A02DFF"/>
    <w:rsid w:val="29A3014B"/>
    <w:rsid w:val="29A74CBD"/>
    <w:rsid w:val="29A80BF5"/>
    <w:rsid w:val="29B01C34"/>
    <w:rsid w:val="29B16357"/>
    <w:rsid w:val="29BA0D88"/>
    <w:rsid w:val="29BB3E72"/>
    <w:rsid w:val="29CF32B2"/>
    <w:rsid w:val="29DE15A2"/>
    <w:rsid w:val="29E0500B"/>
    <w:rsid w:val="29E56462"/>
    <w:rsid w:val="29EC475A"/>
    <w:rsid w:val="29EF3680"/>
    <w:rsid w:val="29EF424E"/>
    <w:rsid w:val="29F35970"/>
    <w:rsid w:val="29FA7F26"/>
    <w:rsid w:val="2A0B7871"/>
    <w:rsid w:val="2A166823"/>
    <w:rsid w:val="2A35650F"/>
    <w:rsid w:val="2A405845"/>
    <w:rsid w:val="2A4562D4"/>
    <w:rsid w:val="2A4D593F"/>
    <w:rsid w:val="2A575627"/>
    <w:rsid w:val="2A6C2D77"/>
    <w:rsid w:val="2A6E31F8"/>
    <w:rsid w:val="2A7270B7"/>
    <w:rsid w:val="2A824349"/>
    <w:rsid w:val="2A82713D"/>
    <w:rsid w:val="2A87174E"/>
    <w:rsid w:val="2A8A2F9C"/>
    <w:rsid w:val="2AA45D17"/>
    <w:rsid w:val="2AAB3B94"/>
    <w:rsid w:val="2AAC5A06"/>
    <w:rsid w:val="2AB22DE3"/>
    <w:rsid w:val="2AB369FC"/>
    <w:rsid w:val="2AB775FB"/>
    <w:rsid w:val="2ABB3D6F"/>
    <w:rsid w:val="2AC318D9"/>
    <w:rsid w:val="2AC70B30"/>
    <w:rsid w:val="2ACC2AAF"/>
    <w:rsid w:val="2ACD46FA"/>
    <w:rsid w:val="2ACD717C"/>
    <w:rsid w:val="2AD74744"/>
    <w:rsid w:val="2AD91AC2"/>
    <w:rsid w:val="2AE57C95"/>
    <w:rsid w:val="2AE97E06"/>
    <w:rsid w:val="2AF34B3D"/>
    <w:rsid w:val="2AF35C8B"/>
    <w:rsid w:val="2B055F4D"/>
    <w:rsid w:val="2B0C0EEE"/>
    <w:rsid w:val="2B112D02"/>
    <w:rsid w:val="2B132265"/>
    <w:rsid w:val="2B214776"/>
    <w:rsid w:val="2B2843BE"/>
    <w:rsid w:val="2B2A789A"/>
    <w:rsid w:val="2B313FC1"/>
    <w:rsid w:val="2B347C14"/>
    <w:rsid w:val="2B39348E"/>
    <w:rsid w:val="2B437285"/>
    <w:rsid w:val="2B494377"/>
    <w:rsid w:val="2B4D695C"/>
    <w:rsid w:val="2B514803"/>
    <w:rsid w:val="2B5E6C2A"/>
    <w:rsid w:val="2B637D4B"/>
    <w:rsid w:val="2B6B1684"/>
    <w:rsid w:val="2B7B70BF"/>
    <w:rsid w:val="2B853AF3"/>
    <w:rsid w:val="2B8B422C"/>
    <w:rsid w:val="2B950A36"/>
    <w:rsid w:val="2BA07D38"/>
    <w:rsid w:val="2BC40957"/>
    <w:rsid w:val="2BCA5C66"/>
    <w:rsid w:val="2BCB5DAA"/>
    <w:rsid w:val="2BD65380"/>
    <w:rsid w:val="2BD86372"/>
    <w:rsid w:val="2BDA39FD"/>
    <w:rsid w:val="2BE725D0"/>
    <w:rsid w:val="2BEF631E"/>
    <w:rsid w:val="2BF369B9"/>
    <w:rsid w:val="2BFC0A4A"/>
    <w:rsid w:val="2C094904"/>
    <w:rsid w:val="2C0E55A1"/>
    <w:rsid w:val="2C14030B"/>
    <w:rsid w:val="2C346DB5"/>
    <w:rsid w:val="2C3A7BF6"/>
    <w:rsid w:val="2C425BCE"/>
    <w:rsid w:val="2C44676A"/>
    <w:rsid w:val="2C495C38"/>
    <w:rsid w:val="2C4A080C"/>
    <w:rsid w:val="2C4E77B9"/>
    <w:rsid w:val="2C54533B"/>
    <w:rsid w:val="2C591378"/>
    <w:rsid w:val="2C722F9A"/>
    <w:rsid w:val="2C797A76"/>
    <w:rsid w:val="2C8B6C0E"/>
    <w:rsid w:val="2C8F4862"/>
    <w:rsid w:val="2C9E5AC8"/>
    <w:rsid w:val="2CA05674"/>
    <w:rsid w:val="2CA2721B"/>
    <w:rsid w:val="2CAC6D87"/>
    <w:rsid w:val="2CB23B2C"/>
    <w:rsid w:val="2CB268EE"/>
    <w:rsid w:val="2CB600FC"/>
    <w:rsid w:val="2CB85E71"/>
    <w:rsid w:val="2CBE6567"/>
    <w:rsid w:val="2CCB6E18"/>
    <w:rsid w:val="2CCF5C52"/>
    <w:rsid w:val="2CE01F07"/>
    <w:rsid w:val="2CE8526F"/>
    <w:rsid w:val="2D024DC7"/>
    <w:rsid w:val="2D026315"/>
    <w:rsid w:val="2D0764BD"/>
    <w:rsid w:val="2D0A3DA2"/>
    <w:rsid w:val="2D0B3169"/>
    <w:rsid w:val="2D0D4219"/>
    <w:rsid w:val="2D105AFA"/>
    <w:rsid w:val="2D2279B8"/>
    <w:rsid w:val="2D274320"/>
    <w:rsid w:val="2D2D2DE2"/>
    <w:rsid w:val="2D3117D3"/>
    <w:rsid w:val="2D324CCC"/>
    <w:rsid w:val="2D340E86"/>
    <w:rsid w:val="2D395427"/>
    <w:rsid w:val="2D3A2269"/>
    <w:rsid w:val="2D3D0E02"/>
    <w:rsid w:val="2D510F65"/>
    <w:rsid w:val="2D5436FA"/>
    <w:rsid w:val="2D59263A"/>
    <w:rsid w:val="2D62469E"/>
    <w:rsid w:val="2D6B40A9"/>
    <w:rsid w:val="2D6D7E98"/>
    <w:rsid w:val="2D8A3FA2"/>
    <w:rsid w:val="2D9767DC"/>
    <w:rsid w:val="2D980DDC"/>
    <w:rsid w:val="2D987372"/>
    <w:rsid w:val="2DA23689"/>
    <w:rsid w:val="2DBC2A76"/>
    <w:rsid w:val="2DC66A91"/>
    <w:rsid w:val="2DC92AA1"/>
    <w:rsid w:val="2DCE5F69"/>
    <w:rsid w:val="2DD51812"/>
    <w:rsid w:val="2DD63DB4"/>
    <w:rsid w:val="2DDD4F0A"/>
    <w:rsid w:val="2E0F49FC"/>
    <w:rsid w:val="2E147A92"/>
    <w:rsid w:val="2E2D64A9"/>
    <w:rsid w:val="2E34792A"/>
    <w:rsid w:val="2E376AEB"/>
    <w:rsid w:val="2E437E73"/>
    <w:rsid w:val="2E4A5201"/>
    <w:rsid w:val="2E5034DC"/>
    <w:rsid w:val="2E572AB9"/>
    <w:rsid w:val="2E596827"/>
    <w:rsid w:val="2E5F4987"/>
    <w:rsid w:val="2E600E38"/>
    <w:rsid w:val="2E7258DC"/>
    <w:rsid w:val="2E7545D2"/>
    <w:rsid w:val="2E79458E"/>
    <w:rsid w:val="2E797200"/>
    <w:rsid w:val="2E797A78"/>
    <w:rsid w:val="2E7A5F31"/>
    <w:rsid w:val="2E7C6A94"/>
    <w:rsid w:val="2E8321A5"/>
    <w:rsid w:val="2E8475EF"/>
    <w:rsid w:val="2E8D14A8"/>
    <w:rsid w:val="2E95430E"/>
    <w:rsid w:val="2E9A2060"/>
    <w:rsid w:val="2E9F6D95"/>
    <w:rsid w:val="2EAE350B"/>
    <w:rsid w:val="2EB20A6C"/>
    <w:rsid w:val="2EBC2287"/>
    <w:rsid w:val="2EC3466D"/>
    <w:rsid w:val="2EC44440"/>
    <w:rsid w:val="2ECA3116"/>
    <w:rsid w:val="2EDD7896"/>
    <w:rsid w:val="2EEA6E65"/>
    <w:rsid w:val="2EF33C7C"/>
    <w:rsid w:val="2F00052B"/>
    <w:rsid w:val="2F0367CD"/>
    <w:rsid w:val="2F1251F2"/>
    <w:rsid w:val="2F2D445E"/>
    <w:rsid w:val="2F4B20A5"/>
    <w:rsid w:val="2F4F6FBB"/>
    <w:rsid w:val="2F5A00E5"/>
    <w:rsid w:val="2F664E2B"/>
    <w:rsid w:val="2F6C7BE3"/>
    <w:rsid w:val="2F783485"/>
    <w:rsid w:val="2F7A17CB"/>
    <w:rsid w:val="2F7A78AC"/>
    <w:rsid w:val="2F7F5C0B"/>
    <w:rsid w:val="2F895685"/>
    <w:rsid w:val="2F9A13B4"/>
    <w:rsid w:val="2FA07393"/>
    <w:rsid w:val="2FA417BA"/>
    <w:rsid w:val="2FA6492D"/>
    <w:rsid w:val="2FAE0E14"/>
    <w:rsid w:val="2FC86676"/>
    <w:rsid w:val="2FD17A1B"/>
    <w:rsid w:val="2FD71CA4"/>
    <w:rsid w:val="2FDC432A"/>
    <w:rsid w:val="2FDC4A8D"/>
    <w:rsid w:val="2FDD73CC"/>
    <w:rsid w:val="2FE27109"/>
    <w:rsid w:val="2FEA743A"/>
    <w:rsid w:val="2FF24D11"/>
    <w:rsid w:val="2FF93066"/>
    <w:rsid w:val="30114224"/>
    <w:rsid w:val="301742B2"/>
    <w:rsid w:val="301A1509"/>
    <w:rsid w:val="301A71CE"/>
    <w:rsid w:val="301D63DD"/>
    <w:rsid w:val="301E049B"/>
    <w:rsid w:val="302A4BE6"/>
    <w:rsid w:val="304478EC"/>
    <w:rsid w:val="304F4511"/>
    <w:rsid w:val="30515C8E"/>
    <w:rsid w:val="305823FF"/>
    <w:rsid w:val="30830761"/>
    <w:rsid w:val="30926F91"/>
    <w:rsid w:val="30962F3E"/>
    <w:rsid w:val="30A13F14"/>
    <w:rsid w:val="30A85733"/>
    <w:rsid w:val="30AA2585"/>
    <w:rsid w:val="30C16A19"/>
    <w:rsid w:val="30C262B6"/>
    <w:rsid w:val="30CB5800"/>
    <w:rsid w:val="30D32236"/>
    <w:rsid w:val="30DB6CFA"/>
    <w:rsid w:val="30E43E12"/>
    <w:rsid w:val="30E53B71"/>
    <w:rsid w:val="30E8513F"/>
    <w:rsid w:val="30FA7530"/>
    <w:rsid w:val="30FF2795"/>
    <w:rsid w:val="31015E30"/>
    <w:rsid w:val="310375CD"/>
    <w:rsid w:val="310854C5"/>
    <w:rsid w:val="310D44C6"/>
    <w:rsid w:val="310E6387"/>
    <w:rsid w:val="311611B3"/>
    <w:rsid w:val="31180F58"/>
    <w:rsid w:val="311F6A53"/>
    <w:rsid w:val="313C313D"/>
    <w:rsid w:val="313F6DC6"/>
    <w:rsid w:val="314E236F"/>
    <w:rsid w:val="315C5815"/>
    <w:rsid w:val="315E0B07"/>
    <w:rsid w:val="31621F46"/>
    <w:rsid w:val="316A723C"/>
    <w:rsid w:val="316E7CA0"/>
    <w:rsid w:val="317206BF"/>
    <w:rsid w:val="317932EA"/>
    <w:rsid w:val="317938E9"/>
    <w:rsid w:val="317E5000"/>
    <w:rsid w:val="31870868"/>
    <w:rsid w:val="31875BB4"/>
    <w:rsid w:val="319B3F06"/>
    <w:rsid w:val="31A9328B"/>
    <w:rsid w:val="31AD09F7"/>
    <w:rsid w:val="31B718F2"/>
    <w:rsid w:val="31C57B88"/>
    <w:rsid w:val="31D20051"/>
    <w:rsid w:val="31DC626C"/>
    <w:rsid w:val="31E745D2"/>
    <w:rsid w:val="31EF7EE8"/>
    <w:rsid w:val="3201404F"/>
    <w:rsid w:val="320901F5"/>
    <w:rsid w:val="320B7CCB"/>
    <w:rsid w:val="32105DE8"/>
    <w:rsid w:val="32286907"/>
    <w:rsid w:val="322E2721"/>
    <w:rsid w:val="3235187E"/>
    <w:rsid w:val="3237186B"/>
    <w:rsid w:val="323B6798"/>
    <w:rsid w:val="32537B57"/>
    <w:rsid w:val="32573090"/>
    <w:rsid w:val="325779E7"/>
    <w:rsid w:val="325F618E"/>
    <w:rsid w:val="32757E99"/>
    <w:rsid w:val="327D43E5"/>
    <w:rsid w:val="32842CF3"/>
    <w:rsid w:val="328F2182"/>
    <w:rsid w:val="328F5534"/>
    <w:rsid w:val="329A6217"/>
    <w:rsid w:val="329A6ACE"/>
    <w:rsid w:val="329C2950"/>
    <w:rsid w:val="32A145CA"/>
    <w:rsid w:val="32A230DB"/>
    <w:rsid w:val="32B52836"/>
    <w:rsid w:val="32DF351E"/>
    <w:rsid w:val="32EE5E41"/>
    <w:rsid w:val="32F1510B"/>
    <w:rsid w:val="32F40F87"/>
    <w:rsid w:val="32F520B9"/>
    <w:rsid w:val="32FD7C76"/>
    <w:rsid w:val="330414AF"/>
    <w:rsid w:val="330C22FC"/>
    <w:rsid w:val="33231081"/>
    <w:rsid w:val="332A6617"/>
    <w:rsid w:val="33540E5D"/>
    <w:rsid w:val="335A0521"/>
    <w:rsid w:val="335D7182"/>
    <w:rsid w:val="335E7B11"/>
    <w:rsid w:val="3364318B"/>
    <w:rsid w:val="33691888"/>
    <w:rsid w:val="336A499A"/>
    <w:rsid w:val="33714830"/>
    <w:rsid w:val="33737F51"/>
    <w:rsid w:val="3375654F"/>
    <w:rsid w:val="337964FF"/>
    <w:rsid w:val="337A062A"/>
    <w:rsid w:val="337D34FB"/>
    <w:rsid w:val="337E2DAF"/>
    <w:rsid w:val="339C6DF8"/>
    <w:rsid w:val="33A47053"/>
    <w:rsid w:val="33AD5111"/>
    <w:rsid w:val="33BF4199"/>
    <w:rsid w:val="33CD23A8"/>
    <w:rsid w:val="33CD6498"/>
    <w:rsid w:val="33D7554F"/>
    <w:rsid w:val="33D825FA"/>
    <w:rsid w:val="33DB2AB1"/>
    <w:rsid w:val="33FE62E7"/>
    <w:rsid w:val="34080399"/>
    <w:rsid w:val="340D25F6"/>
    <w:rsid w:val="34161D6C"/>
    <w:rsid w:val="341E19AD"/>
    <w:rsid w:val="342763E9"/>
    <w:rsid w:val="3429226D"/>
    <w:rsid w:val="342B76C7"/>
    <w:rsid w:val="343A1527"/>
    <w:rsid w:val="34447898"/>
    <w:rsid w:val="344E62FA"/>
    <w:rsid w:val="34542DE9"/>
    <w:rsid w:val="34542E46"/>
    <w:rsid w:val="346C4879"/>
    <w:rsid w:val="346D7DEA"/>
    <w:rsid w:val="3472234D"/>
    <w:rsid w:val="347D500F"/>
    <w:rsid w:val="34830157"/>
    <w:rsid w:val="34872D27"/>
    <w:rsid w:val="348A3241"/>
    <w:rsid w:val="348E58C4"/>
    <w:rsid w:val="349164BD"/>
    <w:rsid w:val="3495237E"/>
    <w:rsid w:val="3499657C"/>
    <w:rsid w:val="34A52713"/>
    <w:rsid w:val="34BD02AE"/>
    <w:rsid w:val="34BD32A6"/>
    <w:rsid w:val="34BE1B67"/>
    <w:rsid w:val="34C20DC7"/>
    <w:rsid w:val="34C77705"/>
    <w:rsid w:val="34DA26A8"/>
    <w:rsid w:val="34DE2B9F"/>
    <w:rsid w:val="34DF0124"/>
    <w:rsid w:val="34E145D2"/>
    <w:rsid w:val="34E75EA5"/>
    <w:rsid w:val="34E960F1"/>
    <w:rsid w:val="34EE6187"/>
    <w:rsid w:val="350A65C4"/>
    <w:rsid w:val="350B42D5"/>
    <w:rsid w:val="350F6258"/>
    <w:rsid w:val="35126D01"/>
    <w:rsid w:val="351A603C"/>
    <w:rsid w:val="352821F6"/>
    <w:rsid w:val="35292624"/>
    <w:rsid w:val="3533698A"/>
    <w:rsid w:val="35387F19"/>
    <w:rsid w:val="3539550B"/>
    <w:rsid w:val="35413331"/>
    <w:rsid w:val="354319AA"/>
    <w:rsid w:val="354D5E0E"/>
    <w:rsid w:val="355D10E3"/>
    <w:rsid w:val="355F206B"/>
    <w:rsid w:val="356150BC"/>
    <w:rsid w:val="356678B4"/>
    <w:rsid w:val="3573649F"/>
    <w:rsid w:val="35774602"/>
    <w:rsid w:val="357E4B0A"/>
    <w:rsid w:val="35837DFD"/>
    <w:rsid w:val="35866D7F"/>
    <w:rsid w:val="358F6BDF"/>
    <w:rsid w:val="35917C0B"/>
    <w:rsid w:val="359611AB"/>
    <w:rsid w:val="35A26AC9"/>
    <w:rsid w:val="35A440D7"/>
    <w:rsid w:val="35AE1117"/>
    <w:rsid w:val="35AE3DE9"/>
    <w:rsid w:val="35C06D50"/>
    <w:rsid w:val="35CD6F14"/>
    <w:rsid w:val="35D24294"/>
    <w:rsid w:val="35D71152"/>
    <w:rsid w:val="35F629BD"/>
    <w:rsid w:val="35FF6F3C"/>
    <w:rsid w:val="3600359A"/>
    <w:rsid w:val="36075F27"/>
    <w:rsid w:val="36121506"/>
    <w:rsid w:val="36180A4A"/>
    <w:rsid w:val="361D7A43"/>
    <w:rsid w:val="361E658D"/>
    <w:rsid w:val="361F3323"/>
    <w:rsid w:val="362C64B5"/>
    <w:rsid w:val="363019EB"/>
    <w:rsid w:val="36326D0C"/>
    <w:rsid w:val="36402EFA"/>
    <w:rsid w:val="36496A51"/>
    <w:rsid w:val="364F7CD0"/>
    <w:rsid w:val="365111B1"/>
    <w:rsid w:val="36535FD0"/>
    <w:rsid w:val="365623F6"/>
    <w:rsid w:val="366B1251"/>
    <w:rsid w:val="366C7E67"/>
    <w:rsid w:val="368230C6"/>
    <w:rsid w:val="36843A03"/>
    <w:rsid w:val="368F7E4F"/>
    <w:rsid w:val="36985297"/>
    <w:rsid w:val="369F633B"/>
    <w:rsid w:val="36A30FDB"/>
    <w:rsid w:val="36A7007C"/>
    <w:rsid w:val="36AB07EC"/>
    <w:rsid w:val="36B24AE8"/>
    <w:rsid w:val="36B54845"/>
    <w:rsid w:val="36BD0DC4"/>
    <w:rsid w:val="36D37903"/>
    <w:rsid w:val="36D51D00"/>
    <w:rsid w:val="36D66B5E"/>
    <w:rsid w:val="36D86634"/>
    <w:rsid w:val="36DE4AF9"/>
    <w:rsid w:val="36E410A4"/>
    <w:rsid w:val="36E93760"/>
    <w:rsid w:val="36EE0289"/>
    <w:rsid w:val="36F4550C"/>
    <w:rsid w:val="36FB4305"/>
    <w:rsid w:val="3708597F"/>
    <w:rsid w:val="3709624C"/>
    <w:rsid w:val="37096815"/>
    <w:rsid w:val="370F7060"/>
    <w:rsid w:val="37134801"/>
    <w:rsid w:val="37173233"/>
    <w:rsid w:val="371C344E"/>
    <w:rsid w:val="37226558"/>
    <w:rsid w:val="3734159D"/>
    <w:rsid w:val="37382526"/>
    <w:rsid w:val="37393B1D"/>
    <w:rsid w:val="373B4C89"/>
    <w:rsid w:val="37424A45"/>
    <w:rsid w:val="37503E6C"/>
    <w:rsid w:val="3758590A"/>
    <w:rsid w:val="375E77B2"/>
    <w:rsid w:val="37602E60"/>
    <w:rsid w:val="37611796"/>
    <w:rsid w:val="37625C1C"/>
    <w:rsid w:val="377519F1"/>
    <w:rsid w:val="377B528D"/>
    <w:rsid w:val="377D206E"/>
    <w:rsid w:val="377D4DA8"/>
    <w:rsid w:val="378229A7"/>
    <w:rsid w:val="3784394E"/>
    <w:rsid w:val="37946975"/>
    <w:rsid w:val="37987437"/>
    <w:rsid w:val="379F33FC"/>
    <w:rsid w:val="37A432E4"/>
    <w:rsid w:val="37A86196"/>
    <w:rsid w:val="37C94031"/>
    <w:rsid w:val="37CA042E"/>
    <w:rsid w:val="37CA2635"/>
    <w:rsid w:val="37D44549"/>
    <w:rsid w:val="37D77B09"/>
    <w:rsid w:val="37D931A8"/>
    <w:rsid w:val="37D97EDE"/>
    <w:rsid w:val="37E76E34"/>
    <w:rsid w:val="380632B2"/>
    <w:rsid w:val="380D02B1"/>
    <w:rsid w:val="38190834"/>
    <w:rsid w:val="381C3EB1"/>
    <w:rsid w:val="381E409C"/>
    <w:rsid w:val="382B1BDF"/>
    <w:rsid w:val="382E392C"/>
    <w:rsid w:val="38310B25"/>
    <w:rsid w:val="38325D99"/>
    <w:rsid w:val="38342E90"/>
    <w:rsid w:val="38451B7E"/>
    <w:rsid w:val="384B7332"/>
    <w:rsid w:val="384E20F8"/>
    <w:rsid w:val="385056AF"/>
    <w:rsid w:val="3851381E"/>
    <w:rsid w:val="38647460"/>
    <w:rsid w:val="386A7142"/>
    <w:rsid w:val="386E0B2C"/>
    <w:rsid w:val="38706DCB"/>
    <w:rsid w:val="387E793E"/>
    <w:rsid w:val="388E5848"/>
    <w:rsid w:val="389E7B13"/>
    <w:rsid w:val="38A341A7"/>
    <w:rsid w:val="38AF6B7E"/>
    <w:rsid w:val="38BD240C"/>
    <w:rsid w:val="38BD31EE"/>
    <w:rsid w:val="38C05985"/>
    <w:rsid w:val="38C2629A"/>
    <w:rsid w:val="38CB3BDF"/>
    <w:rsid w:val="38CD22F1"/>
    <w:rsid w:val="38D33D29"/>
    <w:rsid w:val="38D41CCF"/>
    <w:rsid w:val="38DD76CC"/>
    <w:rsid w:val="38E40A5B"/>
    <w:rsid w:val="38E51952"/>
    <w:rsid w:val="38F16A28"/>
    <w:rsid w:val="3913128B"/>
    <w:rsid w:val="391A3359"/>
    <w:rsid w:val="39285D57"/>
    <w:rsid w:val="39315D4D"/>
    <w:rsid w:val="393E40A8"/>
    <w:rsid w:val="394B6470"/>
    <w:rsid w:val="395C6EA8"/>
    <w:rsid w:val="39872512"/>
    <w:rsid w:val="39A007AA"/>
    <w:rsid w:val="39A602F9"/>
    <w:rsid w:val="39BD45C8"/>
    <w:rsid w:val="39C2316A"/>
    <w:rsid w:val="39D84654"/>
    <w:rsid w:val="39F36281"/>
    <w:rsid w:val="39FD376D"/>
    <w:rsid w:val="39FD6C9C"/>
    <w:rsid w:val="39FF6B36"/>
    <w:rsid w:val="3A0224B9"/>
    <w:rsid w:val="3A0526B5"/>
    <w:rsid w:val="3A14011B"/>
    <w:rsid w:val="3A1509F4"/>
    <w:rsid w:val="3A16728B"/>
    <w:rsid w:val="3A16794C"/>
    <w:rsid w:val="3A1F6809"/>
    <w:rsid w:val="3A226969"/>
    <w:rsid w:val="3A3F47CE"/>
    <w:rsid w:val="3A410243"/>
    <w:rsid w:val="3A4E1C5D"/>
    <w:rsid w:val="3A523735"/>
    <w:rsid w:val="3A557AE4"/>
    <w:rsid w:val="3A6B0F84"/>
    <w:rsid w:val="3A727435"/>
    <w:rsid w:val="3A813EA6"/>
    <w:rsid w:val="3A94055A"/>
    <w:rsid w:val="3AB00167"/>
    <w:rsid w:val="3AC17E3A"/>
    <w:rsid w:val="3ACB5746"/>
    <w:rsid w:val="3ACE209E"/>
    <w:rsid w:val="3AD450E7"/>
    <w:rsid w:val="3ADD2B05"/>
    <w:rsid w:val="3AE36EC1"/>
    <w:rsid w:val="3AE417E3"/>
    <w:rsid w:val="3AE440AF"/>
    <w:rsid w:val="3AF7667E"/>
    <w:rsid w:val="3B113F51"/>
    <w:rsid w:val="3B192990"/>
    <w:rsid w:val="3B251957"/>
    <w:rsid w:val="3B2D3716"/>
    <w:rsid w:val="3B307112"/>
    <w:rsid w:val="3B307FDD"/>
    <w:rsid w:val="3B3D1A41"/>
    <w:rsid w:val="3B3E5BDD"/>
    <w:rsid w:val="3B552653"/>
    <w:rsid w:val="3B5A2A22"/>
    <w:rsid w:val="3B5B5607"/>
    <w:rsid w:val="3B707794"/>
    <w:rsid w:val="3B7804A3"/>
    <w:rsid w:val="3B8E2153"/>
    <w:rsid w:val="3B9B2072"/>
    <w:rsid w:val="3BA03B83"/>
    <w:rsid w:val="3BA91F03"/>
    <w:rsid w:val="3BB16FA6"/>
    <w:rsid w:val="3BB17CE6"/>
    <w:rsid w:val="3BB20883"/>
    <w:rsid w:val="3BB448B0"/>
    <w:rsid w:val="3BC34E75"/>
    <w:rsid w:val="3BCB270F"/>
    <w:rsid w:val="3BD569C2"/>
    <w:rsid w:val="3BD96AA6"/>
    <w:rsid w:val="3BDB053C"/>
    <w:rsid w:val="3BE4466B"/>
    <w:rsid w:val="3BED002E"/>
    <w:rsid w:val="3C0429BF"/>
    <w:rsid w:val="3C066389"/>
    <w:rsid w:val="3C0D66FC"/>
    <w:rsid w:val="3C120C48"/>
    <w:rsid w:val="3C1A201A"/>
    <w:rsid w:val="3C276807"/>
    <w:rsid w:val="3C306E2F"/>
    <w:rsid w:val="3C3274E5"/>
    <w:rsid w:val="3C371D4B"/>
    <w:rsid w:val="3C382561"/>
    <w:rsid w:val="3C3B4B9D"/>
    <w:rsid w:val="3C3F772B"/>
    <w:rsid w:val="3C413C82"/>
    <w:rsid w:val="3C471C36"/>
    <w:rsid w:val="3C4B0140"/>
    <w:rsid w:val="3C4D66ED"/>
    <w:rsid w:val="3C577D11"/>
    <w:rsid w:val="3C5A6B66"/>
    <w:rsid w:val="3C6472A5"/>
    <w:rsid w:val="3C712E5F"/>
    <w:rsid w:val="3C734413"/>
    <w:rsid w:val="3C764842"/>
    <w:rsid w:val="3C7A6E5A"/>
    <w:rsid w:val="3C8869CA"/>
    <w:rsid w:val="3C982C18"/>
    <w:rsid w:val="3CA734F8"/>
    <w:rsid w:val="3CA95F71"/>
    <w:rsid w:val="3CB33ABD"/>
    <w:rsid w:val="3CC16893"/>
    <w:rsid w:val="3CC74223"/>
    <w:rsid w:val="3CC828D0"/>
    <w:rsid w:val="3CCB43BE"/>
    <w:rsid w:val="3CDA6EE3"/>
    <w:rsid w:val="3CDB5F96"/>
    <w:rsid w:val="3CE23F49"/>
    <w:rsid w:val="3CE242F0"/>
    <w:rsid w:val="3CE4209E"/>
    <w:rsid w:val="3CEA4F7F"/>
    <w:rsid w:val="3CEC39B8"/>
    <w:rsid w:val="3CF20887"/>
    <w:rsid w:val="3CF37919"/>
    <w:rsid w:val="3CF720E3"/>
    <w:rsid w:val="3CF72D6A"/>
    <w:rsid w:val="3CF86D06"/>
    <w:rsid w:val="3D00620E"/>
    <w:rsid w:val="3D035226"/>
    <w:rsid w:val="3D0E4AD7"/>
    <w:rsid w:val="3D31576C"/>
    <w:rsid w:val="3D316CDB"/>
    <w:rsid w:val="3D3373BD"/>
    <w:rsid w:val="3D3768D2"/>
    <w:rsid w:val="3D3A3838"/>
    <w:rsid w:val="3D3D6BBD"/>
    <w:rsid w:val="3D404CC7"/>
    <w:rsid w:val="3D450F8C"/>
    <w:rsid w:val="3D477118"/>
    <w:rsid w:val="3D51285A"/>
    <w:rsid w:val="3D594E54"/>
    <w:rsid w:val="3D62706F"/>
    <w:rsid w:val="3D6E2272"/>
    <w:rsid w:val="3D7104CE"/>
    <w:rsid w:val="3D772B05"/>
    <w:rsid w:val="3D7C727A"/>
    <w:rsid w:val="3D81786B"/>
    <w:rsid w:val="3D830417"/>
    <w:rsid w:val="3D877AC5"/>
    <w:rsid w:val="3D882D35"/>
    <w:rsid w:val="3D8D2848"/>
    <w:rsid w:val="3D94235D"/>
    <w:rsid w:val="3D9461E1"/>
    <w:rsid w:val="3DAF37B0"/>
    <w:rsid w:val="3DB34E86"/>
    <w:rsid w:val="3DB36BC6"/>
    <w:rsid w:val="3DB80A86"/>
    <w:rsid w:val="3DBE6A34"/>
    <w:rsid w:val="3DC00481"/>
    <w:rsid w:val="3DDA3E19"/>
    <w:rsid w:val="3DED0F96"/>
    <w:rsid w:val="3DF130D5"/>
    <w:rsid w:val="3DF95812"/>
    <w:rsid w:val="3E0040D9"/>
    <w:rsid w:val="3E08720F"/>
    <w:rsid w:val="3E1328D6"/>
    <w:rsid w:val="3E1B7668"/>
    <w:rsid w:val="3E1C6544"/>
    <w:rsid w:val="3E1D4B24"/>
    <w:rsid w:val="3E2A7B0A"/>
    <w:rsid w:val="3E314520"/>
    <w:rsid w:val="3E3A04FA"/>
    <w:rsid w:val="3E3D6B96"/>
    <w:rsid w:val="3E3F202E"/>
    <w:rsid w:val="3E441C7D"/>
    <w:rsid w:val="3E490256"/>
    <w:rsid w:val="3E4C2EC5"/>
    <w:rsid w:val="3E55739E"/>
    <w:rsid w:val="3E68075C"/>
    <w:rsid w:val="3E6C43C8"/>
    <w:rsid w:val="3E6E6161"/>
    <w:rsid w:val="3E8227F0"/>
    <w:rsid w:val="3E937F82"/>
    <w:rsid w:val="3E9B4B40"/>
    <w:rsid w:val="3EB71AC8"/>
    <w:rsid w:val="3EC14CA0"/>
    <w:rsid w:val="3EC85E34"/>
    <w:rsid w:val="3ECF2AAC"/>
    <w:rsid w:val="3ED0424C"/>
    <w:rsid w:val="3ED07B7E"/>
    <w:rsid w:val="3EDC2C5B"/>
    <w:rsid w:val="3EF31E7F"/>
    <w:rsid w:val="3EF36DF0"/>
    <w:rsid w:val="3EFC77FE"/>
    <w:rsid w:val="3F003339"/>
    <w:rsid w:val="3F035EE1"/>
    <w:rsid w:val="3F053EF6"/>
    <w:rsid w:val="3F093188"/>
    <w:rsid w:val="3F0C1E13"/>
    <w:rsid w:val="3F173F6B"/>
    <w:rsid w:val="3F1A20DE"/>
    <w:rsid w:val="3F1E1DE8"/>
    <w:rsid w:val="3F253B0C"/>
    <w:rsid w:val="3F2853A7"/>
    <w:rsid w:val="3F2C04C4"/>
    <w:rsid w:val="3F3E7C9F"/>
    <w:rsid w:val="3F416B99"/>
    <w:rsid w:val="3F4F5AD7"/>
    <w:rsid w:val="3F643908"/>
    <w:rsid w:val="3F6828C2"/>
    <w:rsid w:val="3F6A46DC"/>
    <w:rsid w:val="3F6B75A6"/>
    <w:rsid w:val="3F884CAB"/>
    <w:rsid w:val="3F8C0A49"/>
    <w:rsid w:val="3F8E7DCD"/>
    <w:rsid w:val="3F913853"/>
    <w:rsid w:val="3F93357F"/>
    <w:rsid w:val="3F9660C3"/>
    <w:rsid w:val="3F9724DD"/>
    <w:rsid w:val="3F9C79E3"/>
    <w:rsid w:val="3FA827ED"/>
    <w:rsid w:val="3FA93586"/>
    <w:rsid w:val="3FB45C58"/>
    <w:rsid w:val="3FBA1D11"/>
    <w:rsid w:val="3FC36557"/>
    <w:rsid w:val="3FC956FF"/>
    <w:rsid w:val="3FD13F50"/>
    <w:rsid w:val="3FDC5F31"/>
    <w:rsid w:val="3FE04625"/>
    <w:rsid w:val="3FE86CE8"/>
    <w:rsid w:val="3FEF3DCD"/>
    <w:rsid w:val="3FF148F7"/>
    <w:rsid w:val="3FFB0F66"/>
    <w:rsid w:val="40022F93"/>
    <w:rsid w:val="400E6DDA"/>
    <w:rsid w:val="40146E6B"/>
    <w:rsid w:val="40225B50"/>
    <w:rsid w:val="402F649F"/>
    <w:rsid w:val="403052F1"/>
    <w:rsid w:val="40330D29"/>
    <w:rsid w:val="404469FD"/>
    <w:rsid w:val="404A2717"/>
    <w:rsid w:val="404E779F"/>
    <w:rsid w:val="4059090D"/>
    <w:rsid w:val="4065170A"/>
    <w:rsid w:val="40687776"/>
    <w:rsid w:val="406966BC"/>
    <w:rsid w:val="406C4DFB"/>
    <w:rsid w:val="406E5CAB"/>
    <w:rsid w:val="40713C35"/>
    <w:rsid w:val="40823B87"/>
    <w:rsid w:val="408355D6"/>
    <w:rsid w:val="408376F8"/>
    <w:rsid w:val="40A163F1"/>
    <w:rsid w:val="40A25054"/>
    <w:rsid w:val="40A325E0"/>
    <w:rsid w:val="40AE30AC"/>
    <w:rsid w:val="40AE7A15"/>
    <w:rsid w:val="40B41AE2"/>
    <w:rsid w:val="40B7228C"/>
    <w:rsid w:val="40BD0DA1"/>
    <w:rsid w:val="40C11715"/>
    <w:rsid w:val="40EC7D18"/>
    <w:rsid w:val="40ED11A0"/>
    <w:rsid w:val="40F92E97"/>
    <w:rsid w:val="40FD1BF0"/>
    <w:rsid w:val="41015E92"/>
    <w:rsid w:val="41096BC0"/>
    <w:rsid w:val="410A75B6"/>
    <w:rsid w:val="410B452A"/>
    <w:rsid w:val="41146D26"/>
    <w:rsid w:val="411B6EDC"/>
    <w:rsid w:val="411C49CD"/>
    <w:rsid w:val="413353F1"/>
    <w:rsid w:val="41464224"/>
    <w:rsid w:val="414C0B0E"/>
    <w:rsid w:val="41513BC9"/>
    <w:rsid w:val="41713236"/>
    <w:rsid w:val="41735B7F"/>
    <w:rsid w:val="419302E2"/>
    <w:rsid w:val="419C5FD8"/>
    <w:rsid w:val="419E558F"/>
    <w:rsid w:val="419E60D3"/>
    <w:rsid w:val="41A25332"/>
    <w:rsid w:val="41A339F5"/>
    <w:rsid w:val="41A36C7E"/>
    <w:rsid w:val="41A55EEC"/>
    <w:rsid w:val="41AA4A84"/>
    <w:rsid w:val="41AF06D0"/>
    <w:rsid w:val="41C45B38"/>
    <w:rsid w:val="41C93F6C"/>
    <w:rsid w:val="41D5139D"/>
    <w:rsid w:val="41D75714"/>
    <w:rsid w:val="41DD3BC3"/>
    <w:rsid w:val="41E535F4"/>
    <w:rsid w:val="41EE2F03"/>
    <w:rsid w:val="41F466FD"/>
    <w:rsid w:val="42002BC7"/>
    <w:rsid w:val="42026B03"/>
    <w:rsid w:val="420C60D5"/>
    <w:rsid w:val="420D197F"/>
    <w:rsid w:val="42130DE5"/>
    <w:rsid w:val="42187EBE"/>
    <w:rsid w:val="42201DD7"/>
    <w:rsid w:val="42240D3F"/>
    <w:rsid w:val="42273D8C"/>
    <w:rsid w:val="4227435A"/>
    <w:rsid w:val="42300D9C"/>
    <w:rsid w:val="424154E1"/>
    <w:rsid w:val="42494A4D"/>
    <w:rsid w:val="424B5824"/>
    <w:rsid w:val="42616DD3"/>
    <w:rsid w:val="426973AD"/>
    <w:rsid w:val="426F56CA"/>
    <w:rsid w:val="42702D0D"/>
    <w:rsid w:val="427A67A1"/>
    <w:rsid w:val="427E0B36"/>
    <w:rsid w:val="429F2355"/>
    <w:rsid w:val="42A03D98"/>
    <w:rsid w:val="42A37FC3"/>
    <w:rsid w:val="42A729F1"/>
    <w:rsid w:val="42B94BC1"/>
    <w:rsid w:val="42BE4DAE"/>
    <w:rsid w:val="42BF61B0"/>
    <w:rsid w:val="42C30254"/>
    <w:rsid w:val="42C42A08"/>
    <w:rsid w:val="42D064B1"/>
    <w:rsid w:val="42D41F6D"/>
    <w:rsid w:val="42D92A2D"/>
    <w:rsid w:val="42DE48A3"/>
    <w:rsid w:val="42E16058"/>
    <w:rsid w:val="42F17BF5"/>
    <w:rsid w:val="42F87EC9"/>
    <w:rsid w:val="42FA45BF"/>
    <w:rsid w:val="430E7E66"/>
    <w:rsid w:val="431C35C1"/>
    <w:rsid w:val="431C44AA"/>
    <w:rsid w:val="43296963"/>
    <w:rsid w:val="4332317A"/>
    <w:rsid w:val="433246A0"/>
    <w:rsid w:val="433E7EE2"/>
    <w:rsid w:val="433F6B54"/>
    <w:rsid w:val="43424AD7"/>
    <w:rsid w:val="4346543A"/>
    <w:rsid w:val="43533E29"/>
    <w:rsid w:val="43561E16"/>
    <w:rsid w:val="435B1259"/>
    <w:rsid w:val="43603D58"/>
    <w:rsid w:val="436263D5"/>
    <w:rsid w:val="437556C4"/>
    <w:rsid w:val="43874CD4"/>
    <w:rsid w:val="43874FE8"/>
    <w:rsid w:val="439B699F"/>
    <w:rsid w:val="439D3E18"/>
    <w:rsid w:val="439E6C28"/>
    <w:rsid w:val="439F1200"/>
    <w:rsid w:val="43AE320F"/>
    <w:rsid w:val="43AF2D32"/>
    <w:rsid w:val="43B13512"/>
    <w:rsid w:val="43B76E4F"/>
    <w:rsid w:val="43C24E88"/>
    <w:rsid w:val="43C9176D"/>
    <w:rsid w:val="43CF0206"/>
    <w:rsid w:val="43D50BA1"/>
    <w:rsid w:val="43D81E71"/>
    <w:rsid w:val="43D85D6D"/>
    <w:rsid w:val="43E23D98"/>
    <w:rsid w:val="43EC6F1F"/>
    <w:rsid w:val="43F124F2"/>
    <w:rsid w:val="43FE44BA"/>
    <w:rsid w:val="43FE63A7"/>
    <w:rsid w:val="440656C2"/>
    <w:rsid w:val="440D5045"/>
    <w:rsid w:val="440F6C97"/>
    <w:rsid w:val="44300615"/>
    <w:rsid w:val="44371929"/>
    <w:rsid w:val="443740AF"/>
    <w:rsid w:val="44480935"/>
    <w:rsid w:val="444851FA"/>
    <w:rsid w:val="445E4DEE"/>
    <w:rsid w:val="44640994"/>
    <w:rsid w:val="446B0434"/>
    <w:rsid w:val="44756A66"/>
    <w:rsid w:val="447E4EBE"/>
    <w:rsid w:val="447F0CBA"/>
    <w:rsid w:val="4491630F"/>
    <w:rsid w:val="449323D4"/>
    <w:rsid w:val="44957F46"/>
    <w:rsid w:val="44994CF5"/>
    <w:rsid w:val="44AF6578"/>
    <w:rsid w:val="44B463D5"/>
    <w:rsid w:val="44C17003"/>
    <w:rsid w:val="44C90753"/>
    <w:rsid w:val="44D649CF"/>
    <w:rsid w:val="44DC46EB"/>
    <w:rsid w:val="44EA6491"/>
    <w:rsid w:val="44F03F8F"/>
    <w:rsid w:val="44F14ECF"/>
    <w:rsid w:val="45042FB1"/>
    <w:rsid w:val="45162B93"/>
    <w:rsid w:val="45234E43"/>
    <w:rsid w:val="45275172"/>
    <w:rsid w:val="452F5B3A"/>
    <w:rsid w:val="45332511"/>
    <w:rsid w:val="45370B65"/>
    <w:rsid w:val="453F44DA"/>
    <w:rsid w:val="45412C46"/>
    <w:rsid w:val="454D3110"/>
    <w:rsid w:val="45514AD5"/>
    <w:rsid w:val="4552412E"/>
    <w:rsid w:val="45570907"/>
    <w:rsid w:val="455908C0"/>
    <w:rsid w:val="455933A5"/>
    <w:rsid w:val="45724579"/>
    <w:rsid w:val="45743BE6"/>
    <w:rsid w:val="4575513B"/>
    <w:rsid w:val="45761EDD"/>
    <w:rsid w:val="457A7286"/>
    <w:rsid w:val="457B06AA"/>
    <w:rsid w:val="457C7D39"/>
    <w:rsid w:val="458667C4"/>
    <w:rsid w:val="458F5163"/>
    <w:rsid w:val="459200B3"/>
    <w:rsid w:val="45934E4A"/>
    <w:rsid w:val="459405E3"/>
    <w:rsid w:val="459C5A47"/>
    <w:rsid w:val="45A82F38"/>
    <w:rsid w:val="45B047D1"/>
    <w:rsid w:val="45B77545"/>
    <w:rsid w:val="45BE6191"/>
    <w:rsid w:val="45BE648C"/>
    <w:rsid w:val="45C661BC"/>
    <w:rsid w:val="45CA082F"/>
    <w:rsid w:val="45CD2126"/>
    <w:rsid w:val="45CF358A"/>
    <w:rsid w:val="45DD738A"/>
    <w:rsid w:val="45E372CD"/>
    <w:rsid w:val="45FB2D6A"/>
    <w:rsid w:val="460851C4"/>
    <w:rsid w:val="460C5979"/>
    <w:rsid w:val="46110AB3"/>
    <w:rsid w:val="46143B66"/>
    <w:rsid w:val="4615371C"/>
    <w:rsid w:val="46214325"/>
    <w:rsid w:val="4626398E"/>
    <w:rsid w:val="463246EC"/>
    <w:rsid w:val="463425D3"/>
    <w:rsid w:val="463A3547"/>
    <w:rsid w:val="4647327A"/>
    <w:rsid w:val="464B28C8"/>
    <w:rsid w:val="464E0973"/>
    <w:rsid w:val="46555DC3"/>
    <w:rsid w:val="46617DB2"/>
    <w:rsid w:val="46621065"/>
    <w:rsid w:val="46665198"/>
    <w:rsid w:val="46697236"/>
    <w:rsid w:val="46770F8B"/>
    <w:rsid w:val="467C16FA"/>
    <w:rsid w:val="46842633"/>
    <w:rsid w:val="46875964"/>
    <w:rsid w:val="46894B18"/>
    <w:rsid w:val="469448C6"/>
    <w:rsid w:val="469E47A2"/>
    <w:rsid w:val="46AB0067"/>
    <w:rsid w:val="46AD2069"/>
    <w:rsid w:val="46B80AF8"/>
    <w:rsid w:val="46D37F0B"/>
    <w:rsid w:val="46D6030E"/>
    <w:rsid w:val="46D71533"/>
    <w:rsid w:val="46E26C7C"/>
    <w:rsid w:val="46E53335"/>
    <w:rsid w:val="46E544E3"/>
    <w:rsid w:val="46E87DBA"/>
    <w:rsid w:val="46EE15F6"/>
    <w:rsid w:val="46EE2CC7"/>
    <w:rsid w:val="46FA7468"/>
    <w:rsid w:val="470F7B86"/>
    <w:rsid w:val="47155D89"/>
    <w:rsid w:val="473069AF"/>
    <w:rsid w:val="47356ECD"/>
    <w:rsid w:val="47484E32"/>
    <w:rsid w:val="474A0EAF"/>
    <w:rsid w:val="474E50BE"/>
    <w:rsid w:val="47523FA0"/>
    <w:rsid w:val="476700F2"/>
    <w:rsid w:val="47696F9C"/>
    <w:rsid w:val="47714F1F"/>
    <w:rsid w:val="47725A17"/>
    <w:rsid w:val="47756A03"/>
    <w:rsid w:val="477D3243"/>
    <w:rsid w:val="478821A1"/>
    <w:rsid w:val="478D3694"/>
    <w:rsid w:val="479128A9"/>
    <w:rsid w:val="47956820"/>
    <w:rsid w:val="47975EDC"/>
    <w:rsid w:val="47983B19"/>
    <w:rsid w:val="479E2C8A"/>
    <w:rsid w:val="47A3609D"/>
    <w:rsid w:val="47C01792"/>
    <w:rsid w:val="47C57A48"/>
    <w:rsid w:val="47D511BD"/>
    <w:rsid w:val="4808150F"/>
    <w:rsid w:val="480F51A8"/>
    <w:rsid w:val="481604F9"/>
    <w:rsid w:val="481A006F"/>
    <w:rsid w:val="48256B1B"/>
    <w:rsid w:val="48282713"/>
    <w:rsid w:val="482A6E62"/>
    <w:rsid w:val="482F2437"/>
    <w:rsid w:val="484417FA"/>
    <w:rsid w:val="48450ECE"/>
    <w:rsid w:val="484759CD"/>
    <w:rsid w:val="484B14EC"/>
    <w:rsid w:val="48602710"/>
    <w:rsid w:val="48713351"/>
    <w:rsid w:val="48725C43"/>
    <w:rsid w:val="48802846"/>
    <w:rsid w:val="488260F9"/>
    <w:rsid w:val="48850157"/>
    <w:rsid w:val="48A4573B"/>
    <w:rsid w:val="48A71C34"/>
    <w:rsid w:val="48A736CF"/>
    <w:rsid w:val="48B116EA"/>
    <w:rsid w:val="48B74C7A"/>
    <w:rsid w:val="48B95FE2"/>
    <w:rsid w:val="48BE32BF"/>
    <w:rsid w:val="48C354EC"/>
    <w:rsid w:val="48CF1A39"/>
    <w:rsid w:val="48D429DD"/>
    <w:rsid w:val="48E01C77"/>
    <w:rsid w:val="48E22285"/>
    <w:rsid w:val="48E50D90"/>
    <w:rsid w:val="48EB0B49"/>
    <w:rsid w:val="48EB0D16"/>
    <w:rsid w:val="48FA15CC"/>
    <w:rsid w:val="48FF0DD1"/>
    <w:rsid w:val="490F071A"/>
    <w:rsid w:val="491B63DF"/>
    <w:rsid w:val="491D63E9"/>
    <w:rsid w:val="49247EB1"/>
    <w:rsid w:val="4932285C"/>
    <w:rsid w:val="49331971"/>
    <w:rsid w:val="49384E02"/>
    <w:rsid w:val="493E2F78"/>
    <w:rsid w:val="493F3A9E"/>
    <w:rsid w:val="495217DF"/>
    <w:rsid w:val="49547ADD"/>
    <w:rsid w:val="4958367A"/>
    <w:rsid w:val="4960425F"/>
    <w:rsid w:val="498A16CD"/>
    <w:rsid w:val="498A7FB5"/>
    <w:rsid w:val="499145D9"/>
    <w:rsid w:val="49A33C27"/>
    <w:rsid w:val="49A750B5"/>
    <w:rsid w:val="49B93B41"/>
    <w:rsid w:val="49BE07DA"/>
    <w:rsid w:val="49C32414"/>
    <w:rsid w:val="49C84AA0"/>
    <w:rsid w:val="49CA7400"/>
    <w:rsid w:val="49D7694D"/>
    <w:rsid w:val="49D87799"/>
    <w:rsid w:val="49E27151"/>
    <w:rsid w:val="49F400AC"/>
    <w:rsid w:val="49F9104E"/>
    <w:rsid w:val="4A0244D3"/>
    <w:rsid w:val="4A255046"/>
    <w:rsid w:val="4A2E1525"/>
    <w:rsid w:val="4A4D071A"/>
    <w:rsid w:val="4A5A756D"/>
    <w:rsid w:val="4A722B4C"/>
    <w:rsid w:val="4A785772"/>
    <w:rsid w:val="4A7A7433"/>
    <w:rsid w:val="4A842E43"/>
    <w:rsid w:val="4A886D1D"/>
    <w:rsid w:val="4A89105B"/>
    <w:rsid w:val="4A912BF7"/>
    <w:rsid w:val="4A955EEB"/>
    <w:rsid w:val="4AA341CC"/>
    <w:rsid w:val="4AAD4AA9"/>
    <w:rsid w:val="4AC13295"/>
    <w:rsid w:val="4AC31003"/>
    <w:rsid w:val="4AC40F4C"/>
    <w:rsid w:val="4AC91D29"/>
    <w:rsid w:val="4AD25F33"/>
    <w:rsid w:val="4AD763B8"/>
    <w:rsid w:val="4ADD641F"/>
    <w:rsid w:val="4AE072CB"/>
    <w:rsid w:val="4AE93159"/>
    <w:rsid w:val="4AED65F4"/>
    <w:rsid w:val="4AF02EA1"/>
    <w:rsid w:val="4B0428AF"/>
    <w:rsid w:val="4B174032"/>
    <w:rsid w:val="4B1C3A76"/>
    <w:rsid w:val="4B1D7328"/>
    <w:rsid w:val="4B1F41F9"/>
    <w:rsid w:val="4B250CF8"/>
    <w:rsid w:val="4B2873FD"/>
    <w:rsid w:val="4B3D4DE9"/>
    <w:rsid w:val="4B59618C"/>
    <w:rsid w:val="4B5B2C7E"/>
    <w:rsid w:val="4B6A74A5"/>
    <w:rsid w:val="4B6D6F07"/>
    <w:rsid w:val="4B6F1D56"/>
    <w:rsid w:val="4B7C4100"/>
    <w:rsid w:val="4B830F9B"/>
    <w:rsid w:val="4B8F2DD0"/>
    <w:rsid w:val="4B9B06E8"/>
    <w:rsid w:val="4B9B0C47"/>
    <w:rsid w:val="4B9D4011"/>
    <w:rsid w:val="4BA34CD3"/>
    <w:rsid w:val="4BB36BDD"/>
    <w:rsid w:val="4BB60507"/>
    <w:rsid w:val="4BC32290"/>
    <w:rsid w:val="4BC64C9C"/>
    <w:rsid w:val="4BD0339A"/>
    <w:rsid w:val="4BF32495"/>
    <w:rsid w:val="4BFA131A"/>
    <w:rsid w:val="4BFA3FA2"/>
    <w:rsid w:val="4C172533"/>
    <w:rsid w:val="4C1905D9"/>
    <w:rsid w:val="4C1A01C1"/>
    <w:rsid w:val="4C2910DF"/>
    <w:rsid w:val="4C2B4DDD"/>
    <w:rsid w:val="4C312198"/>
    <w:rsid w:val="4C336177"/>
    <w:rsid w:val="4C471A55"/>
    <w:rsid w:val="4C4E51AF"/>
    <w:rsid w:val="4C53456F"/>
    <w:rsid w:val="4C562920"/>
    <w:rsid w:val="4C5D1F92"/>
    <w:rsid w:val="4C603F16"/>
    <w:rsid w:val="4C6262E0"/>
    <w:rsid w:val="4C6703A3"/>
    <w:rsid w:val="4C6D7518"/>
    <w:rsid w:val="4C704A5C"/>
    <w:rsid w:val="4C8C1682"/>
    <w:rsid w:val="4C923A72"/>
    <w:rsid w:val="4CAB3057"/>
    <w:rsid w:val="4CB531CC"/>
    <w:rsid w:val="4CB80C32"/>
    <w:rsid w:val="4CB96B0F"/>
    <w:rsid w:val="4CBD582C"/>
    <w:rsid w:val="4CC21369"/>
    <w:rsid w:val="4CD1735E"/>
    <w:rsid w:val="4CE34E9F"/>
    <w:rsid w:val="4CF52D94"/>
    <w:rsid w:val="4D075911"/>
    <w:rsid w:val="4D0C6B0F"/>
    <w:rsid w:val="4D116682"/>
    <w:rsid w:val="4D1216BD"/>
    <w:rsid w:val="4D231A3E"/>
    <w:rsid w:val="4D2822A5"/>
    <w:rsid w:val="4D3C254D"/>
    <w:rsid w:val="4D4001E4"/>
    <w:rsid w:val="4D462159"/>
    <w:rsid w:val="4D47409F"/>
    <w:rsid w:val="4D525BE3"/>
    <w:rsid w:val="4D566017"/>
    <w:rsid w:val="4D6022FC"/>
    <w:rsid w:val="4D6748C7"/>
    <w:rsid w:val="4D7D3EFB"/>
    <w:rsid w:val="4D883EF9"/>
    <w:rsid w:val="4D8B0123"/>
    <w:rsid w:val="4D907392"/>
    <w:rsid w:val="4D940DD6"/>
    <w:rsid w:val="4D9965A1"/>
    <w:rsid w:val="4DAF14C5"/>
    <w:rsid w:val="4DB9067A"/>
    <w:rsid w:val="4DC605B6"/>
    <w:rsid w:val="4DD732D2"/>
    <w:rsid w:val="4DEC0985"/>
    <w:rsid w:val="4E000105"/>
    <w:rsid w:val="4E0538A3"/>
    <w:rsid w:val="4E0E6818"/>
    <w:rsid w:val="4E27683A"/>
    <w:rsid w:val="4E300289"/>
    <w:rsid w:val="4E321D35"/>
    <w:rsid w:val="4E397241"/>
    <w:rsid w:val="4E3C1DE4"/>
    <w:rsid w:val="4E464E00"/>
    <w:rsid w:val="4E4B2E60"/>
    <w:rsid w:val="4E4C50A3"/>
    <w:rsid w:val="4E510698"/>
    <w:rsid w:val="4E576363"/>
    <w:rsid w:val="4E59789B"/>
    <w:rsid w:val="4E5D49B1"/>
    <w:rsid w:val="4E635567"/>
    <w:rsid w:val="4E674786"/>
    <w:rsid w:val="4E6D0F25"/>
    <w:rsid w:val="4E6F309C"/>
    <w:rsid w:val="4E710F05"/>
    <w:rsid w:val="4E742982"/>
    <w:rsid w:val="4E7F1E8F"/>
    <w:rsid w:val="4E862481"/>
    <w:rsid w:val="4E8C4141"/>
    <w:rsid w:val="4E901714"/>
    <w:rsid w:val="4E93511F"/>
    <w:rsid w:val="4E9B4432"/>
    <w:rsid w:val="4E9C0636"/>
    <w:rsid w:val="4E9D29FB"/>
    <w:rsid w:val="4EA30DB6"/>
    <w:rsid w:val="4EA7341F"/>
    <w:rsid w:val="4EB35A3D"/>
    <w:rsid w:val="4ECD2AFD"/>
    <w:rsid w:val="4ED60940"/>
    <w:rsid w:val="4EDB58B2"/>
    <w:rsid w:val="4EE925CE"/>
    <w:rsid w:val="4EEB1A94"/>
    <w:rsid w:val="4EEF2E30"/>
    <w:rsid w:val="4EF24828"/>
    <w:rsid w:val="4EFE7F59"/>
    <w:rsid w:val="4F0557AF"/>
    <w:rsid w:val="4F285975"/>
    <w:rsid w:val="4F2A1A96"/>
    <w:rsid w:val="4F2A7BF3"/>
    <w:rsid w:val="4F2E2624"/>
    <w:rsid w:val="4F3032F3"/>
    <w:rsid w:val="4F4E1077"/>
    <w:rsid w:val="4F546156"/>
    <w:rsid w:val="4F5B6F39"/>
    <w:rsid w:val="4F621F24"/>
    <w:rsid w:val="4F64780B"/>
    <w:rsid w:val="4F6C6998"/>
    <w:rsid w:val="4F727FD6"/>
    <w:rsid w:val="4F836EB9"/>
    <w:rsid w:val="4F844A99"/>
    <w:rsid w:val="4F94662C"/>
    <w:rsid w:val="4FAB774E"/>
    <w:rsid w:val="4FB00163"/>
    <w:rsid w:val="4FB208E7"/>
    <w:rsid w:val="4FE30332"/>
    <w:rsid w:val="4FE70BB4"/>
    <w:rsid w:val="4FE73C01"/>
    <w:rsid w:val="4FE76D51"/>
    <w:rsid w:val="4FE87C31"/>
    <w:rsid w:val="4FF03F98"/>
    <w:rsid w:val="4FF14DCF"/>
    <w:rsid w:val="4FF62B3F"/>
    <w:rsid w:val="50062DD9"/>
    <w:rsid w:val="50062EF6"/>
    <w:rsid w:val="5008113B"/>
    <w:rsid w:val="500815B6"/>
    <w:rsid w:val="500A7223"/>
    <w:rsid w:val="500B39BC"/>
    <w:rsid w:val="500C204A"/>
    <w:rsid w:val="501502DD"/>
    <w:rsid w:val="501A2172"/>
    <w:rsid w:val="502173F8"/>
    <w:rsid w:val="5022123F"/>
    <w:rsid w:val="502B7315"/>
    <w:rsid w:val="503E570B"/>
    <w:rsid w:val="503F32CF"/>
    <w:rsid w:val="503F62FD"/>
    <w:rsid w:val="5041152A"/>
    <w:rsid w:val="504A1A7A"/>
    <w:rsid w:val="504C77D2"/>
    <w:rsid w:val="50560460"/>
    <w:rsid w:val="50601A5C"/>
    <w:rsid w:val="50675605"/>
    <w:rsid w:val="507055F2"/>
    <w:rsid w:val="507E1B25"/>
    <w:rsid w:val="508E3B94"/>
    <w:rsid w:val="508E4492"/>
    <w:rsid w:val="5090223F"/>
    <w:rsid w:val="50924591"/>
    <w:rsid w:val="50943125"/>
    <w:rsid w:val="50A2548C"/>
    <w:rsid w:val="50A578DE"/>
    <w:rsid w:val="50A649F5"/>
    <w:rsid w:val="50AB5EB6"/>
    <w:rsid w:val="50AD494C"/>
    <w:rsid w:val="50AE6FE2"/>
    <w:rsid w:val="50B16618"/>
    <w:rsid w:val="50BB6306"/>
    <w:rsid w:val="50BF5E9F"/>
    <w:rsid w:val="50C12EDC"/>
    <w:rsid w:val="50C471FF"/>
    <w:rsid w:val="50CD2E4B"/>
    <w:rsid w:val="50D8533B"/>
    <w:rsid w:val="50DA0A9E"/>
    <w:rsid w:val="50ED21B8"/>
    <w:rsid w:val="50F31CB9"/>
    <w:rsid w:val="50F66F3D"/>
    <w:rsid w:val="50F8688B"/>
    <w:rsid w:val="50FA27BD"/>
    <w:rsid w:val="50FB1A8B"/>
    <w:rsid w:val="50FC4E36"/>
    <w:rsid w:val="51002FFC"/>
    <w:rsid w:val="5105169B"/>
    <w:rsid w:val="51062881"/>
    <w:rsid w:val="510861B3"/>
    <w:rsid w:val="510956BD"/>
    <w:rsid w:val="5114696C"/>
    <w:rsid w:val="5121766A"/>
    <w:rsid w:val="51230220"/>
    <w:rsid w:val="513B53C3"/>
    <w:rsid w:val="513E7AC2"/>
    <w:rsid w:val="513F6CC6"/>
    <w:rsid w:val="51471753"/>
    <w:rsid w:val="514B6843"/>
    <w:rsid w:val="514E4912"/>
    <w:rsid w:val="515400FF"/>
    <w:rsid w:val="515441FE"/>
    <w:rsid w:val="515D735D"/>
    <w:rsid w:val="5161556E"/>
    <w:rsid w:val="51631E12"/>
    <w:rsid w:val="516A5418"/>
    <w:rsid w:val="516F4764"/>
    <w:rsid w:val="51781A83"/>
    <w:rsid w:val="51867298"/>
    <w:rsid w:val="51894D69"/>
    <w:rsid w:val="518D21E1"/>
    <w:rsid w:val="518E6224"/>
    <w:rsid w:val="51930297"/>
    <w:rsid w:val="51953936"/>
    <w:rsid w:val="519E116A"/>
    <w:rsid w:val="51A2793A"/>
    <w:rsid w:val="51AF3CDC"/>
    <w:rsid w:val="51B10868"/>
    <w:rsid w:val="51B71820"/>
    <w:rsid w:val="51BA0CB7"/>
    <w:rsid w:val="51CA4619"/>
    <w:rsid w:val="51D129CA"/>
    <w:rsid w:val="51D75253"/>
    <w:rsid w:val="51D93F8A"/>
    <w:rsid w:val="51E5046A"/>
    <w:rsid w:val="51F6353C"/>
    <w:rsid w:val="520D7B42"/>
    <w:rsid w:val="52175F05"/>
    <w:rsid w:val="52272B85"/>
    <w:rsid w:val="52284E31"/>
    <w:rsid w:val="522A5519"/>
    <w:rsid w:val="523E09B5"/>
    <w:rsid w:val="524053B4"/>
    <w:rsid w:val="52431715"/>
    <w:rsid w:val="52687B2A"/>
    <w:rsid w:val="526D58FF"/>
    <w:rsid w:val="526E0E82"/>
    <w:rsid w:val="527901C6"/>
    <w:rsid w:val="528241AF"/>
    <w:rsid w:val="52831D64"/>
    <w:rsid w:val="528F4A24"/>
    <w:rsid w:val="52944BB6"/>
    <w:rsid w:val="529C012B"/>
    <w:rsid w:val="52A24532"/>
    <w:rsid w:val="52A611A1"/>
    <w:rsid w:val="52AB02F9"/>
    <w:rsid w:val="52AB4331"/>
    <w:rsid w:val="52B24D9E"/>
    <w:rsid w:val="52B3363A"/>
    <w:rsid w:val="52C33084"/>
    <w:rsid w:val="52C4763C"/>
    <w:rsid w:val="52C552C3"/>
    <w:rsid w:val="52CE7860"/>
    <w:rsid w:val="52D102DF"/>
    <w:rsid w:val="52DE691D"/>
    <w:rsid w:val="52E04D27"/>
    <w:rsid w:val="52ED0C96"/>
    <w:rsid w:val="52EE10AF"/>
    <w:rsid w:val="53061721"/>
    <w:rsid w:val="530C0E6B"/>
    <w:rsid w:val="530C41A5"/>
    <w:rsid w:val="53125A3A"/>
    <w:rsid w:val="531C3F9F"/>
    <w:rsid w:val="532F77EA"/>
    <w:rsid w:val="53367575"/>
    <w:rsid w:val="533933AA"/>
    <w:rsid w:val="533B7F54"/>
    <w:rsid w:val="533D2D66"/>
    <w:rsid w:val="535009E1"/>
    <w:rsid w:val="53650168"/>
    <w:rsid w:val="53651B48"/>
    <w:rsid w:val="53665DA9"/>
    <w:rsid w:val="536C2A29"/>
    <w:rsid w:val="536E571F"/>
    <w:rsid w:val="538859E4"/>
    <w:rsid w:val="538E3092"/>
    <w:rsid w:val="53902F6B"/>
    <w:rsid w:val="53917F72"/>
    <w:rsid w:val="539F394B"/>
    <w:rsid w:val="53A20FFA"/>
    <w:rsid w:val="53A233E4"/>
    <w:rsid w:val="53A63AE8"/>
    <w:rsid w:val="53A94C48"/>
    <w:rsid w:val="53AA7BC7"/>
    <w:rsid w:val="53AE5EA5"/>
    <w:rsid w:val="53B00B1F"/>
    <w:rsid w:val="53B2409D"/>
    <w:rsid w:val="53B31E73"/>
    <w:rsid w:val="53BD0731"/>
    <w:rsid w:val="53BF4252"/>
    <w:rsid w:val="53C950CA"/>
    <w:rsid w:val="53D5647F"/>
    <w:rsid w:val="53D6247A"/>
    <w:rsid w:val="53DB3477"/>
    <w:rsid w:val="53DE00FF"/>
    <w:rsid w:val="53E656AF"/>
    <w:rsid w:val="53E77CBF"/>
    <w:rsid w:val="53FE7128"/>
    <w:rsid w:val="54201800"/>
    <w:rsid w:val="54247F22"/>
    <w:rsid w:val="5427150F"/>
    <w:rsid w:val="542B1B24"/>
    <w:rsid w:val="542B76D0"/>
    <w:rsid w:val="542C29CD"/>
    <w:rsid w:val="542F1551"/>
    <w:rsid w:val="54381756"/>
    <w:rsid w:val="545750B7"/>
    <w:rsid w:val="545A1EBF"/>
    <w:rsid w:val="545E39AA"/>
    <w:rsid w:val="54602EAD"/>
    <w:rsid w:val="5460437B"/>
    <w:rsid w:val="54727478"/>
    <w:rsid w:val="5475359D"/>
    <w:rsid w:val="548A51DF"/>
    <w:rsid w:val="54B06F11"/>
    <w:rsid w:val="54B56DF4"/>
    <w:rsid w:val="54B93943"/>
    <w:rsid w:val="54BE5578"/>
    <w:rsid w:val="54BF52B5"/>
    <w:rsid w:val="54D202CA"/>
    <w:rsid w:val="54D54E59"/>
    <w:rsid w:val="54DD41DB"/>
    <w:rsid w:val="54DE6BB8"/>
    <w:rsid w:val="54ED3D78"/>
    <w:rsid w:val="54F52BA3"/>
    <w:rsid w:val="54F54E04"/>
    <w:rsid w:val="550B4121"/>
    <w:rsid w:val="550D5CFC"/>
    <w:rsid w:val="550F3357"/>
    <w:rsid w:val="55126CC5"/>
    <w:rsid w:val="55197997"/>
    <w:rsid w:val="551A4479"/>
    <w:rsid w:val="551B7F0A"/>
    <w:rsid w:val="552A6B56"/>
    <w:rsid w:val="55314F13"/>
    <w:rsid w:val="5532385A"/>
    <w:rsid w:val="55333717"/>
    <w:rsid w:val="55381D42"/>
    <w:rsid w:val="55401B14"/>
    <w:rsid w:val="554748F2"/>
    <w:rsid w:val="554D414C"/>
    <w:rsid w:val="554E7279"/>
    <w:rsid w:val="55594FFB"/>
    <w:rsid w:val="55637CEB"/>
    <w:rsid w:val="55677DDA"/>
    <w:rsid w:val="556A71C0"/>
    <w:rsid w:val="55757FB9"/>
    <w:rsid w:val="55884237"/>
    <w:rsid w:val="558B1E31"/>
    <w:rsid w:val="558C7FAA"/>
    <w:rsid w:val="55900510"/>
    <w:rsid w:val="55947881"/>
    <w:rsid w:val="55A25EB7"/>
    <w:rsid w:val="55A82784"/>
    <w:rsid w:val="55A97512"/>
    <w:rsid w:val="55B63FD5"/>
    <w:rsid w:val="55C35A76"/>
    <w:rsid w:val="55D40743"/>
    <w:rsid w:val="55D707A2"/>
    <w:rsid w:val="55DD6F2A"/>
    <w:rsid w:val="55E73480"/>
    <w:rsid w:val="55E8339E"/>
    <w:rsid w:val="55F06771"/>
    <w:rsid w:val="560C022B"/>
    <w:rsid w:val="560D5F48"/>
    <w:rsid w:val="56106284"/>
    <w:rsid w:val="56182852"/>
    <w:rsid w:val="5632642A"/>
    <w:rsid w:val="56375B61"/>
    <w:rsid w:val="56417390"/>
    <w:rsid w:val="564944F4"/>
    <w:rsid w:val="564E5820"/>
    <w:rsid w:val="565104C5"/>
    <w:rsid w:val="56630C00"/>
    <w:rsid w:val="56721038"/>
    <w:rsid w:val="567739D2"/>
    <w:rsid w:val="56775A0A"/>
    <w:rsid w:val="5686536D"/>
    <w:rsid w:val="568B1DB1"/>
    <w:rsid w:val="56A55214"/>
    <w:rsid w:val="56A67978"/>
    <w:rsid w:val="56AC63C5"/>
    <w:rsid w:val="56C1700B"/>
    <w:rsid w:val="56C56513"/>
    <w:rsid w:val="56CF48FB"/>
    <w:rsid w:val="56D25618"/>
    <w:rsid w:val="56D5675C"/>
    <w:rsid w:val="56D7644B"/>
    <w:rsid w:val="56E373D5"/>
    <w:rsid w:val="56E81FA0"/>
    <w:rsid w:val="56E84A97"/>
    <w:rsid w:val="56F05010"/>
    <w:rsid w:val="56FB2A68"/>
    <w:rsid w:val="56FB76A2"/>
    <w:rsid w:val="57011F3E"/>
    <w:rsid w:val="57050D7B"/>
    <w:rsid w:val="5705646B"/>
    <w:rsid w:val="57060649"/>
    <w:rsid w:val="5716320B"/>
    <w:rsid w:val="572657E3"/>
    <w:rsid w:val="5732705F"/>
    <w:rsid w:val="57351D6F"/>
    <w:rsid w:val="573B7F99"/>
    <w:rsid w:val="57422DC7"/>
    <w:rsid w:val="576476C1"/>
    <w:rsid w:val="576E1940"/>
    <w:rsid w:val="57756BF9"/>
    <w:rsid w:val="57770501"/>
    <w:rsid w:val="577B3337"/>
    <w:rsid w:val="577D4F28"/>
    <w:rsid w:val="578B1816"/>
    <w:rsid w:val="57A33734"/>
    <w:rsid w:val="57A53B57"/>
    <w:rsid w:val="57AB6ADD"/>
    <w:rsid w:val="57B7178E"/>
    <w:rsid w:val="57B76EED"/>
    <w:rsid w:val="57BD72A7"/>
    <w:rsid w:val="57BE5838"/>
    <w:rsid w:val="57BF764E"/>
    <w:rsid w:val="57C13144"/>
    <w:rsid w:val="57C4347C"/>
    <w:rsid w:val="57CB35DF"/>
    <w:rsid w:val="57D82354"/>
    <w:rsid w:val="57FC0156"/>
    <w:rsid w:val="57FC07D9"/>
    <w:rsid w:val="57FF6992"/>
    <w:rsid w:val="58036FF1"/>
    <w:rsid w:val="580F1B21"/>
    <w:rsid w:val="581B7E79"/>
    <w:rsid w:val="5837438C"/>
    <w:rsid w:val="58420FA1"/>
    <w:rsid w:val="58500F22"/>
    <w:rsid w:val="58587379"/>
    <w:rsid w:val="585D72B5"/>
    <w:rsid w:val="586D57A3"/>
    <w:rsid w:val="587917A0"/>
    <w:rsid w:val="587A4288"/>
    <w:rsid w:val="5880052B"/>
    <w:rsid w:val="588C2720"/>
    <w:rsid w:val="588E3967"/>
    <w:rsid w:val="589E7444"/>
    <w:rsid w:val="58AD27D9"/>
    <w:rsid w:val="58B169A2"/>
    <w:rsid w:val="58B9636C"/>
    <w:rsid w:val="58C37133"/>
    <w:rsid w:val="58C93046"/>
    <w:rsid w:val="58C952C6"/>
    <w:rsid w:val="58D36BCB"/>
    <w:rsid w:val="58D8157C"/>
    <w:rsid w:val="58E11166"/>
    <w:rsid w:val="58E6349C"/>
    <w:rsid w:val="58E83DEC"/>
    <w:rsid w:val="58EF63EE"/>
    <w:rsid w:val="590317F0"/>
    <w:rsid w:val="59075000"/>
    <w:rsid w:val="593559FD"/>
    <w:rsid w:val="593A4D15"/>
    <w:rsid w:val="594079B2"/>
    <w:rsid w:val="595B45EE"/>
    <w:rsid w:val="595C4A81"/>
    <w:rsid w:val="596A688E"/>
    <w:rsid w:val="596E7229"/>
    <w:rsid w:val="5972466D"/>
    <w:rsid w:val="59860400"/>
    <w:rsid w:val="5987482A"/>
    <w:rsid w:val="598A58C2"/>
    <w:rsid w:val="598C6F19"/>
    <w:rsid w:val="599C49A8"/>
    <w:rsid w:val="59A252D5"/>
    <w:rsid w:val="59A36725"/>
    <w:rsid w:val="59AD4E2E"/>
    <w:rsid w:val="59B14918"/>
    <w:rsid w:val="59B21BF9"/>
    <w:rsid w:val="59B37D53"/>
    <w:rsid w:val="59B80C41"/>
    <w:rsid w:val="59BB4EA3"/>
    <w:rsid w:val="59E9525B"/>
    <w:rsid w:val="59F70BAF"/>
    <w:rsid w:val="5A0627A6"/>
    <w:rsid w:val="5A297D0D"/>
    <w:rsid w:val="5A3C0F08"/>
    <w:rsid w:val="5A3E5B83"/>
    <w:rsid w:val="5A50588C"/>
    <w:rsid w:val="5A5663A3"/>
    <w:rsid w:val="5A5706C7"/>
    <w:rsid w:val="5A571746"/>
    <w:rsid w:val="5A594793"/>
    <w:rsid w:val="5A5B6E89"/>
    <w:rsid w:val="5A6253E3"/>
    <w:rsid w:val="5A641DE9"/>
    <w:rsid w:val="5A746DF6"/>
    <w:rsid w:val="5A8E6670"/>
    <w:rsid w:val="5A912613"/>
    <w:rsid w:val="5A9245E9"/>
    <w:rsid w:val="5A953D41"/>
    <w:rsid w:val="5AA12940"/>
    <w:rsid w:val="5AA2580A"/>
    <w:rsid w:val="5AA75D85"/>
    <w:rsid w:val="5AB7299D"/>
    <w:rsid w:val="5ABC50F4"/>
    <w:rsid w:val="5ACC4940"/>
    <w:rsid w:val="5ACD3CD2"/>
    <w:rsid w:val="5AD7333E"/>
    <w:rsid w:val="5AD86A6D"/>
    <w:rsid w:val="5ADA2BF4"/>
    <w:rsid w:val="5ADF4325"/>
    <w:rsid w:val="5AE8708E"/>
    <w:rsid w:val="5AEB6283"/>
    <w:rsid w:val="5AEC14F6"/>
    <w:rsid w:val="5AF124A4"/>
    <w:rsid w:val="5B0A4D6B"/>
    <w:rsid w:val="5B141085"/>
    <w:rsid w:val="5B266C40"/>
    <w:rsid w:val="5B28192B"/>
    <w:rsid w:val="5B33135D"/>
    <w:rsid w:val="5B342BAD"/>
    <w:rsid w:val="5B392581"/>
    <w:rsid w:val="5B4007EF"/>
    <w:rsid w:val="5B4D1F7C"/>
    <w:rsid w:val="5B51561D"/>
    <w:rsid w:val="5B570E24"/>
    <w:rsid w:val="5B607711"/>
    <w:rsid w:val="5B637E94"/>
    <w:rsid w:val="5B66707B"/>
    <w:rsid w:val="5B673066"/>
    <w:rsid w:val="5B6A48A8"/>
    <w:rsid w:val="5B731FA9"/>
    <w:rsid w:val="5B7400F5"/>
    <w:rsid w:val="5B785E83"/>
    <w:rsid w:val="5B7C1CD1"/>
    <w:rsid w:val="5B825CAE"/>
    <w:rsid w:val="5B9004A9"/>
    <w:rsid w:val="5B907C6C"/>
    <w:rsid w:val="5B9251EF"/>
    <w:rsid w:val="5BAB5BC4"/>
    <w:rsid w:val="5BAC79AD"/>
    <w:rsid w:val="5BB20B74"/>
    <w:rsid w:val="5BB33170"/>
    <w:rsid w:val="5BC677D8"/>
    <w:rsid w:val="5BC857FD"/>
    <w:rsid w:val="5BD0669E"/>
    <w:rsid w:val="5BEB0120"/>
    <w:rsid w:val="5BEC175C"/>
    <w:rsid w:val="5BEF3E44"/>
    <w:rsid w:val="5BEF69FF"/>
    <w:rsid w:val="5C053E62"/>
    <w:rsid w:val="5C064BA0"/>
    <w:rsid w:val="5C07067E"/>
    <w:rsid w:val="5C075BB6"/>
    <w:rsid w:val="5C097C4E"/>
    <w:rsid w:val="5C1A3A93"/>
    <w:rsid w:val="5C1C3059"/>
    <w:rsid w:val="5C235386"/>
    <w:rsid w:val="5C2A4E9F"/>
    <w:rsid w:val="5C37782E"/>
    <w:rsid w:val="5C3B6CFC"/>
    <w:rsid w:val="5C4735D5"/>
    <w:rsid w:val="5C4C2C9B"/>
    <w:rsid w:val="5C4C2CF4"/>
    <w:rsid w:val="5C5E6BCC"/>
    <w:rsid w:val="5C6B1600"/>
    <w:rsid w:val="5C6E26BF"/>
    <w:rsid w:val="5C706511"/>
    <w:rsid w:val="5C7D70D1"/>
    <w:rsid w:val="5C8542A8"/>
    <w:rsid w:val="5C93251D"/>
    <w:rsid w:val="5CA6294E"/>
    <w:rsid w:val="5CCC1DEC"/>
    <w:rsid w:val="5CDB3358"/>
    <w:rsid w:val="5CED4E0C"/>
    <w:rsid w:val="5CEE1DD1"/>
    <w:rsid w:val="5CFB31F2"/>
    <w:rsid w:val="5CFF09AB"/>
    <w:rsid w:val="5D034EE9"/>
    <w:rsid w:val="5D0366E8"/>
    <w:rsid w:val="5D08684C"/>
    <w:rsid w:val="5D0A06B6"/>
    <w:rsid w:val="5D1307E8"/>
    <w:rsid w:val="5D212A05"/>
    <w:rsid w:val="5D28584C"/>
    <w:rsid w:val="5D2F4802"/>
    <w:rsid w:val="5D32239D"/>
    <w:rsid w:val="5D3444E6"/>
    <w:rsid w:val="5D3543FB"/>
    <w:rsid w:val="5D3F0BDF"/>
    <w:rsid w:val="5D5B7098"/>
    <w:rsid w:val="5D5D62C9"/>
    <w:rsid w:val="5D611B66"/>
    <w:rsid w:val="5D634782"/>
    <w:rsid w:val="5D654194"/>
    <w:rsid w:val="5D6E1B86"/>
    <w:rsid w:val="5D725A84"/>
    <w:rsid w:val="5D746389"/>
    <w:rsid w:val="5D7706E8"/>
    <w:rsid w:val="5D7D3801"/>
    <w:rsid w:val="5D8A2CFF"/>
    <w:rsid w:val="5D960EE9"/>
    <w:rsid w:val="5D9A0CFA"/>
    <w:rsid w:val="5D9B296A"/>
    <w:rsid w:val="5D9C251B"/>
    <w:rsid w:val="5DA53D05"/>
    <w:rsid w:val="5DB765B6"/>
    <w:rsid w:val="5DC429B7"/>
    <w:rsid w:val="5DC848B4"/>
    <w:rsid w:val="5DD14397"/>
    <w:rsid w:val="5DD3123F"/>
    <w:rsid w:val="5DD45E00"/>
    <w:rsid w:val="5DD564E5"/>
    <w:rsid w:val="5DD71C7A"/>
    <w:rsid w:val="5DD734EC"/>
    <w:rsid w:val="5DDA4F5F"/>
    <w:rsid w:val="5DDF6E6E"/>
    <w:rsid w:val="5DEC05A1"/>
    <w:rsid w:val="5DEE0433"/>
    <w:rsid w:val="5DEE2993"/>
    <w:rsid w:val="5DFD51DB"/>
    <w:rsid w:val="5E074E49"/>
    <w:rsid w:val="5E0B017F"/>
    <w:rsid w:val="5E0B0848"/>
    <w:rsid w:val="5E1D4A67"/>
    <w:rsid w:val="5E1F2E4C"/>
    <w:rsid w:val="5E237029"/>
    <w:rsid w:val="5E3358BB"/>
    <w:rsid w:val="5E3A3BD1"/>
    <w:rsid w:val="5E4E2212"/>
    <w:rsid w:val="5E4F1C2F"/>
    <w:rsid w:val="5E4F4B48"/>
    <w:rsid w:val="5E5203B8"/>
    <w:rsid w:val="5E53474B"/>
    <w:rsid w:val="5E5D2503"/>
    <w:rsid w:val="5E5D7D0E"/>
    <w:rsid w:val="5E685A72"/>
    <w:rsid w:val="5E6A5399"/>
    <w:rsid w:val="5E71373F"/>
    <w:rsid w:val="5E717191"/>
    <w:rsid w:val="5E7435D2"/>
    <w:rsid w:val="5E830708"/>
    <w:rsid w:val="5E831398"/>
    <w:rsid w:val="5E85633A"/>
    <w:rsid w:val="5E921A45"/>
    <w:rsid w:val="5E975993"/>
    <w:rsid w:val="5EA75DFF"/>
    <w:rsid w:val="5EB51FDE"/>
    <w:rsid w:val="5EBA4472"/>
    <w:rsid w:val="5EC3227D"/>
    <w:rsid w:val="5EC504C9"/>
    <w:rsid w:val="5EC93320"/>
    <w:rsid w:val="5ECA3D37"/>
    <w:rsid w:val="5EE153F8"/>
    <w:rsid w:val="5EE836CB"/>
    <w:rsid w:val="5EEA322F"/>
    <w:rsid w:val="5EED7893"/>
    <w:rsid w:val="5EF427A1"/>
    <w:rsid w:val="5EFB2125"/>
    <w:rsid w:val="5EFB6F0A"/>
    <w:rsid w:val="5F0A3A61"/>
    <w:rsid w:val="5F114A3D"/>
    <w:rsid w:val="5F3370DF"/>
    <w:rsid w:val="5F683B6E"/>
    <w:rsid w:val="5F684490"/>
    <w:rsid w:val="5F697EE8"/>
    <w:rsid w:val="5F6D06D6"/>
    <w:rsid w:val="5F6E768C"/>
    <w:rsid w:val="5F875C0C"/>
    <w:rsid w:val="5F89013A"/>
    <w:rsid w:val="5F8A0701"/>
    <w:rsid w:val="5F8F0B9E"/>
    <w:rsid w:val="5F8F267A"/>
    <w:rsid w:val="5F941274"/>
    <w:rsid w:val="5F99518A"/>
    <w:rsid w:val="5F9A540B"/>
    <w:rsid w:val="5FAB7F08"/>
    <w:rsid w:val="5FB7185B"/>
    <w:rsid w:val="5FB94C48"/>
    <w:rsid w:val="5FBE576C"/>
    <w:rsid w:val="5FD92450"/>
    <w:rsid w:val="5FDE327E"/>
    <w:rsid w:val="5FEB4E90"/>
    <w:rsid w:val="5FF37587"/>
    <w:rsid w:val="5FF85D1E"/>
    <w:rsid w:val="5FFE57B7"/>
    <w:rsid w:val="5FFF04A2"/>
    <w:rsid w:val="60060CD5"/>
    <w:rsid w:val="60085AA3"/>
    <w:rsid w:val="600E362B"/>
    <w:rsid w:val="60183392"/>
    <w:rsid w:val="601A4CB1"/>
    <w:rsid w:val="601B56CB"/>
    <w:rsid w:val="60237FFC"/>
    <w:rsid w:val="602C236D"/>
    <w:rsid w:val="603114E4"/>
    <w:rsid w:val="603967D7"/>
    <w:rsid w:val="603D3325"/>
    <w:rsid w:val="604040A8"/>
    <w:rsid w:val="604233CA"/>
    <w:rsid w:val="604310A8"/>
    <w:rsid w:val="60470CE3"/>
    <w:rsid w:val="60485D19"/>
    <w:rsid w:val="604D29BA"/>
    <w:rsid w:val="605C4AD4"/>
    <w:rsid w:val="606711B4"/>
    <w:rsid w:val="60673C40"/>
    <w:rsid w:val="606A52D4"/>
    <w:rsid w:val="606C5678"/>
    <w:rsid w:val="607A0897"/>
    <w:rsid w:val="607C3753"/>
    <w:rsid w:val="607F6EAB"/>
    <w:rsid w:val="608D1D4E"/>
    <w:rsid w:val="60911FEF"/>
    <w:rsid w:val="60923D36"/>
    <w:rsid w:val="6092569C"/>
    <w:rsid w:val="609D0F5A"/>
    <w:rsid w:val="60AC72CC"/>
    <w:rsid w:val="60AD0357"/>
    <w:rsid w:val="60B004BE"/>
    <w:rsid w:val="60B6381B"/>
    <w:rsid w:val="60BA604C"/>
    <w:rsid w:val="60C302BA"/>
    <w:rsid w:val="60C30855"/>
    <w:rsid w:val="60C338B1"/>
    <w:rsid w:val="60C80101"/>
    <w:rsid w:val="60D4742F"/>
    <w:rsid w:val="60D67C80"/>
    <w:rsid w:val="60D95276"/>
    <w:rsid w:val="60E06DEB"/>
    <w:rsid w:val="60E51841"/>
    <w:rsid w:val="61110088"/>
    <w:rsid w:val="611647A0"/>
    <w:rsid w:val="613F2524"/>
    <w:rsid w:val="61421EFD"/>
    <w:rsid w:val="614F6F7E"/>
    <w:rsid w:val="615C5041"/>
    <w:rsid w:val="61640524"/>
    <w:rsid w:val="617A6EE7"/>
    <w:rsid w:val="617B616B"/>
    <w:rsid w:val="6182260C"/>
    <w:rsid w:val="6190565E"/>
    <w:rsid w:val="61AA2608"/>
    <w:rsid w:val="61AD68BC"/>
    <w:rsid w:val="61AE786E"/>
    <w:rsid w:val="61B173D2"/>
    <w:rsid w:val="61B25E8F"/>
    <w:rsid w:val="61BC4BE1"/>
    <w:rsid w:val="61C12DE2"/>
    <w:rsid w:val="61D43A2B"/>
    <w:rsid w:val="61E34474"/>
    <w:rsid w:val="61ED6D6A"/>
    <w:rsid w:val="61FF316E"/>
    <w:rsid w:val="62014BDB"/>
    <w:rsid w:val="621542CB"/>
    <w:rsid w:val="621C2930"/>
    <w:rsid w:val="624263A2"/>
    <w:rsid w:val="6248722E"/>
    <w:rsid w:val="625272C3"/>
    <w:rsid w:val="626A1B4F"/>
    <w:rsid w:val="62715337"/>
    <w:rsid w:val="6280204D"/>
    <w:rsid w:val="6290769B"/>
    <w:rsid w:val="62943D08"/>
    <w:rsid w:val="629718F1"/>
    <w:rsid w:val="62A05735"/>
    <w:rsid w:val="62A411F8"/>
    <w:rsid w:val="62A81A26"/>
    <w:rsid w:val="62B0109F"/>
    <w:rsid w:val="62BA7A46"/>
    <w:rsid w:val="62C17689"/>
    <w:rsid w:val="62C376AC"/>
    <w:rsid w:val="62CE13CB"/>
    <w:rsid w:val="62D2197B"/>
    <w:rsid w:val="62DB028F"/>
    <w:rsid w:val="62EE4623"/>
    <w:rsid w:val="62F214BD"/>
    <w:rsid w:val="62F402B4"/>
    <w:rsid w:val="62F6011A"/>
    <w:rsid w:val="62FD2BA9"/>
    <w:rsid w:val="63107694"/>
    <w:rsid w:val="6314586E"/>
    <w:rsid w:val="6327422B"/>
    <w:rsid w:val="6328597C"/>
    <w:rsid w:val="633B249F"/>
    <w:rsid w:val="633D1842"/>
    <w:rsid w:val="635123F0"/>
    <w:rsid w:val="63552D76"/>
    <w:rsid w:val="6359778B"/>
    <w:rsid w:val="635B63E3"/>
    <w:rsid w:val="63677698"/>
    <w:rsid w:val="63771D13"/>
    <w:rsid w:val="63791642"/>
    <w:rsid w:val="637C01B3"/>
    <w:rsid w:val="638C3395"/>
    <w:rsid w:val="63B37325"/>
    <w:rsid w:val="63B811CF"/>
    <w:rsid w:val="63B82D87"/>
    <w:rsid w:val="63BA3154"/>
    <w:rsid w:val="63C509F9"/>
    <w:rsid w:val="63CA2E8B"/>
    <w:rsid w:val="63CF097D"/>
    <w:rsid w:val="63D4153E"/>
    <w:rsid w:val="63DA0FA3"/>
    <w:rsid w:val="63DC7755"/>
    <w:rsid w:val="63E43D21"/>
    <w:rsid w:val="63E774B3"/>
    <w:rsid w:val="63F04A04"/>
    <w:rsid w:val="63F24AD5"/>
    <w:rsid w:val="63F47D2A"/>
    <w:rsid w:val="63F6335E"/>
    <w:rsid w:val="63FE2D33"/>
    <w:rsid w:val="64046427"/>
    <w:rsid w:val="640B5788"/>
    <w:rsid w:val="642369FC"/>
    <w:rsid w:val="64254882"/>
    <w:rsid w:val="64264A79"/>
    <w:rsid w:val="642A38B2"/>
    <w:rsid w:val="64304E58"/>
    <w:rsid w:val="64311867"/>
    <w:rsid w:val="64391ED3"/>
    <w:rsid w:val="6445632E"/>
    <w:rsid w:val="64566F9D"/>
    <w:rsid w:val="64596CB3"/>
    <w:rsid w:val="64742B63"/>
    <w:rsid w:val="647949B0"/>
    <w:rsid w:val="647E661E"/>
    <w:rsid w:val="648939AA"/>
    <w:rsid w:val="648C635C"/>
    <w:rsid w:val="64941876"/>
    <w:rsid w:val="649B1AC2"/>
    <w:rsid w:val="649B4C1C"/>
    <w:rsid w:val="64A7467B"/>
    <w:rsid w:val="64B53322"/>
    <w:rsid w:val="64C41B57"/>
    <w:rsid w:val="64C61AF8"/>
    <w:rsid w:val="64C86505"/>
    <w:rsid w:val="64E65F95"/>
    <w:rsid w:val="64E900A7"/>
    <w:rsid w:val="64EB5728"/>
    <w:rsid w:val="64FA211B"/>
    <w:rsid w:val="64FB4412"/>
    <w:rsid w:val="64FE700F"/>
    <w:rsid w:val="6500327F"/>
    <w:rsid w:val="6503698F"/>
    <w:rsid w:val="6506609B"/>
    <w:rsid w:val="65083216"/>
    <w:rsid w:val="650A57D3"/>
    <w:rsid w:val="65460728"/>
    <w:rsid w:val="654835A8"/>
    <w:rsid w:val="654C7056"/>
    <w:rsid w:val="654D7A6A"/>
    <w:rsid w:val="65696D87"/>
    <w:rsid w:val="65733E15"/>
    <w:rsid w:val="657D30C6"/>
    <w:rsid w:val="65822810"/>
    <w:rsid w:val="65870C45"/>
    <w:rsid w:val="658F6B54"/>
    <w:rsid w:val="65955CF7"/>
    <w:rsid w:val="659705FF"/>
    <w:rsid w:val="659C60A2"/>
    <w:rsid w:val="65A47504"/>
    <w:rsid w:val="65AA6346"/>
    <w:rsid w:val="65B01B69"/>
    <w:rsid w:val="65B56C47"/>
    <w:rsid w:val="65B7794D"/>
    <w:rsid w:val="65B8262E"/>
    <w:rsid w:val="65BC15EE"/>
    <w:rsid w:val="65C73EFE"/>
    <w:rsid w:val="65D23D59"/>
    <w:rsid w:val="65D4773F"/>
    <w:rsid w:val="65DC5939"/>
    <w:rsid w:val="65DC7985"/>
    <w:rsid w:val="65F14641"/>
    <w:rsid w:val="65F5655C"/>
    <w:rsid w:val="65F64F18"/>
    <w:rsid w:val="65FF118E"/>
    <w:rsid w:val="66052F43"/>
    <w:rsid w:val="66065483"/>
    <w:rsid w:val="6609487E"/>
    <w:rsid w:val="661D25CE"/>
    <w:rsid w:val="66206CF2"/>
    <w:rsid w:val="66265846"/>
    <w:rsid w:val="66287C9C"/>
    <w:rsid w:val="662E4097"/>
    <w:rsid w:val="664805B8"/>
    <w:rsid w:val="665572E9"/>
    <w:rsid w:val="665B14BD"/>
    <w:rsid w:val="665B55EA"/>
    <w:rsid w:val="66641D58"/>
    <w:rsid w:val="66655F85"/>
    <w:rsid w:val="667C7AEC"/>
    <w:rsid w:val="667F71BA"/>
    <w:rsid w:val="668547B8"/>
    <w:rsid w:val="66863A0F"/>
    <w:rsid w:val="668C53CC"/>
    <w:rsid w:val="66984358"/>
    <w:rsid w:val="66987BD8"/>
    <w:rsid w:val="669B7C76"/>
    <w:rsid w:val="66A200F8"/>
    <w:rsid w:val="66A205F5"/>
    <w:rsid w:val="66A30EC2"/>
    <w:rsid w:val="66AA4BA8"/>
    <w:rsid w:val="66C56058"/>
    <w:rsid w:val="66C955BD"/>
    <w:rsid w:val="66CF3182"/>
    <w:rsid w:val="66D97420"/>
    <w:rsid w:val="66DC317D"/>
    <w:rsid w:val="66DD5461"/>
    <w:rsid w:val="66E10E78"/>
    <w:rsid w:val="66E617C5"/>
    <w:rsid w:val="66E910C9"/>
    <w:rsid w:val="670C6D27"/>
    <w:rsid w:val="670D67CE"/>
    <w:rsid w:val="67105BAB"/>
    <w:rsid w:val="671B1631"/>
    <w:rsid w:val="672C45D9"/>
    <w:rsid w:val="67302DC3"/>
    <w:rsid w:val="67316C6B"/>
    <w:rsid w:val="6734198F"/>
    <w:rsid w:val="674318B2"/>
    <w:rsid w:val="674D4B22"/>
    <w:rsid w:val="67570422"/>
    <w:rsid w:val="675D31B4"/>
    <w:rsid w:val="67611575"/>
    <w:rsid w:val="676D2F4B"/>
    <w:rsid w:val="677A266A"/>
    <w:rsid w:val="677C1A81"/>
    <w:rsid w:val="677E7198"/>
    <w:rsid w:val="678A426A"/>
    <w:rsid w:val="67914BE1"/>
    <w:rsid w:val="679305CA"/>
    <w:rsid w:val="679348FA"/>
    <w:rsid w:val="67A01F16"/>
    <w:rsid w:val="67A2026E"/>
    <w:rsid w:val="67AD0902"/>
    <w:rsid w:val="67B163D1"/>
    <w:rsid w:val="67B21931"/>
    <w:rsid w:val="67CF3BE0"/>
    <w:rsid w:val="67D1123C"/>
    <w:rsid w:val="67DE0B68"/>
    <w:rsid w:val="67F45538"/>
    <w:rsid w:val="67F67092"/>
    <w:rsid w:val="68005932"/>
    <w:rsid w:val="680239EB"/>
    <w:rsid w:val="680722DA"/>
    <w:rsid w:val="68075891"/>
    <w:rsid w:val="68096B99"/>
    <w:rsid w:val="680B6C70"/>
    <w:rsid w:val="681C6C95"/>
    <w:rsid w:val="682211D1"/>
    <w:rsid w:val="68445430"/>
    <w:rsid w:val="685B0620"/>
    <w:rsid w:val="685C6395"/>
    <w:rsid w:val="686318DD"/>
    <w:rsid w:val="68635145"/>
    <w:rsid w:val="686D19A4"/>
    <w:rsid w:val="687914A4"/>
    <w:rsid w:val="687F607E"/>
    <w:rsid w:val="6887281F"/>
    <w:rsid w:val="688B4E92"/>
    <w:rsid w:val="689565AD"/>
    <w:rsid w:val="689A41FB"/>
    <w:rsid w:val="689E57F0"/>
    <w:rsid w:val="68A34C5C"/>
    <w:rsid w:val="68CA6EAF"/>
    <w:rsid w:val="68D10697"/>
    <w:rsid w:val="68D2558C"/>
    <w:rsid w:val="68D507C6"/>
    <w:rsid w:val="68E24981"/>
    <w:rsid w:val="68E62C62"/>
    <w:rsid w:val="68ED60A5"/>
    <w:rsid w:val="69123F86"/>
    <w:rsid w:val="691C1D81"/>
    <w:rsid w:val="691C3525"/>
    <w:rsid w:val="691C4B46"/>
    <w:rsid w:val="69216128"/>
    <w:rsid w:val="69250799"/>
    <w:rsid w:val="69276FF2"/>
    <w:rsid w:val="69280874"/>
    <w:rsid w:val="692E74C3"/>
    <w:rsid w:val="69307671"/>
    <w:rsid w:val="695D6B21"/>
    <w:rsid w:val="69611EE7"/>
    <w:rsid w:val="69621F5B"/>
    <w:rsid w:val="696C708E"/>
    <w:rsid w:val="696F4D5D"/>
    <w:rsid w:val="69850877"/>
    <w:rsid w:val="698C13C5"/>
    <w:rsid w:val="69A17C7E"/>
    <w:rsid w:val="69C12919"/>
    <w:rsid w:val="69C71624"/>
    <w:rsid w:val="69EB1E1E"/>
    <w:rsid w:val="69F0745A"/>
    <w:rsid w:val="6A0D20F2"/>
    <w:rsid w:val="6A117613"/>
    <w:rsid w:val="6A1757B7"/>
    <w:rsid w:val="6A1A2066"/>
    <w:rsid w:val="6A1D59EC"/>
    <w:rsid w:val="6A247F72"/>
    <w:rsid w:val="6A2E5EF8"/>
    <w:rsid w:val="6A3A6D15"/>
    <w:rsid w:val="6A3E2393"/>
    <w:rsid w:val="6A3E360B"/>
    <w:rsid w:val="6A435B92"/>
    <w:rsid w:val="6A444DB8"/>
    <w:rsid w:val="6A471880"/>
    <w:rsid w:val="6A4C28F4"/>
    <w:rsid w:val="6A4D4828"/>
    <w:rsid w:val="6A516AC3"/>
    <w:rsid w:val="6A5303BA"/>
    <w:rsid w:val="6A5B28ED"/>
    <w:rsid w:val="6A677080"/>
    <w:rsid w:val="6A711183"/>
    <w:rsid w:val="6A720BCF"/>
    <w:rsid w:val="6A7B4B9C"/>
    <w:rsid w:val="6A8A1698"/>
    <w:rsid w:val="6AAE7116"/>
    <w:rsid w:val="6AAF014C"/>
    <w:rsid w:val="6ABD60AB"/>
    <w:rsid w:val="6AC07690"/>
    <w:rsid w:val="6ACB082B"/>
    <w:rsid w:val="6ACD3503"/>
    <w:rsid w:val="6AD3247E"/>
    <w:rsid w:val="6AE4699C"/>
    <w:rsid w:val="6AED1BE8"/>
    <w:rsid w:val="6AF00853"/>
    <w:rsid w:val="6AF317C6"/>
    <w:rsid w:val="6B004C6B"/>
    <w:rsid w:val="6B09696B"/>
    <w:rsid w:val="6B250FA2"/>
    <w:rsid w:val="6B2B0EFD"/>
    <w:rsid w:val="6B2C13E4"/>
    <w:rsid w:val="6B2D2EEB"/>
    <w:rsid w:val="6B322952"/>
    <w:rsid w:val="6B410613"/>
    <w:rsid w:val="6B493E2C"/>
    <w:rsid w:val="6B4B0A4C"/>
    <w:rsid w:val="6B4B36C9"/>
    <w:rsid w:val="6B4E75E6"/>
    <w:rsid w:val="6B50310B"/>
    <w:rsid w:val="6B5045E2"/>
    <w:rsid w:val="6B5B3B9E"/>
    <w:rsid w:val="6B5C4553"/>
    <w:rsid w:val="6B62569D"/>
    <w:rsid w:val="6B692897"/>
    <w:rsid w:val="6B695848"/>
    <w:rsid w:val="6B6A1A57"/>
    <w:rsid w:val="6B6D1317"/>
    <w:rsid w:val="6B730045"/>
    <w:rsid w:val="6B736A2E"/>
    <w:rsid w:val="6B762264"/>
    <w:rsid w:val="6B792765"/>
    <w:rsid w:val="6B7964E9"/>
    <w:rsid w:val="6B8642C7"/>
    <w:rsid w:val="6B874340"/>
    <w:rsid w:val="6B884219"/>
    <w:rsid w:val="6B90781F"/>
    <w:rsid w:val="6B95451B"/>
    <w:rsid w:val="6BA6663C"/>
    <w:rsid w:val="6BA9194F"/>
    <w:rsid w:val="6BB07973"/>
    <w:rsid w:val="6BC43854"/>
    <w:rsid w:val="6BCA7437"/>
    <w:rsid w:val="6BE71622"/>
    <w:rsid w:val="6BE727F5"/>
    <w:rsid w:val="6C001608"/>
    <w:rsid w:val="6C08064C"/>
    <w:rsid w:val="6C0858B3"/>
    <w:rsid w:val="6C132D21"/>
    <w:rsid w:val="6C14347F"/>
    <w:rsid w:val="6C240DF3"/>
    <w:rsid w:val="6C45610F"/>
    <w:rsid w:val="6C59472D"/>
    <w:rsid w:val="6C5A4564"/>
    <w:rsid w:val="6C603744"/>
    <w:rsid w:val="6C635845"/>
    <w:rsid w:val="6C637CCF"/>
    <w:rsid w:val="6C6B4F91"/>
    <w:rsid w:val="6C7802EB"/>
    <w:rsid w:val="6C89456C"/>
    <w:rsid w:val="6C9143CB"/>
    <w:rsid w:val="6CA20D5B"/>
    <w:rsid w:val="6CA75F1D"/>
    <w:rsid w:val="6CAF7564"/>
    <w:rsid w:val="6CB71894"/>
    <w:rsid w:val="6CB91201"/>
    <w:rsid w:val="6CC13ACE"/>
    <w:rsid w:val="6CD63FB3"/>
    <w:rsid w:val="6CD73CDB"/>
    <w:rsid w:val="6CD91323"/>
    <w:rsid w:val="6CFE035F"/>
    <w:rsid w:val="6D056EA6"/>
    <w:rsid w:val="6D1766A9"/>
    <w:rsid w:val="6D19067C"/>
    <w:rsid w:val="6D1F423E"/>
    <w:rsid w:val="6D221E52"/>
    <w:rsid w:val="6D227835"/>
    <w:rsid w:val="6D231354"/>
    <w:rsid w:val="6D2834C8"/>
    <w:rsid w:val="6D2F1F0B"/>
    <w:rsid w:val="6D343A12"/>
    <w:rsid w:val="6D3C6626"/>
    <w:rsid w:val="6D5D0DB5"/>
    <w:rsid w:val="6D6855B1"/>
    <w:rsid w:val="6D6C5D15"/>
    <w:rsid w:val="6D7157A1"/>
    <w:rsid w:val="6D7B4AB7"/>
    <w:rsid w:val="6D831FBE"/>
    <w:rsid w:val="6D836C02"/>
    <w:rsid w:val="6D89784B"/>
    <w:rsid w:val="6D8C7F73"/>
    <w:rsid w:val="6D9057BE"/>
    <w:rsid w:val="6D9E0566"/>
    <w:rsid w:val="6DBE7F27"/>
    <w:rsid w:val="6DC262E7"/>
    <w:rsid w:val="6DD70DD8"/>
    <w:rsid w:val="6DED1766"/>
    <w:rsid w:val="6DF43BD4"/>
    <w:rsid w:val="6E0E1FAB"/>
    <w:rsid w:val="6E2143FB"/>
    <w:rsid w:val="6E295363"/>
    <w:rsid w:val="6E317378"/>
    <w:rsid w:val="6E3A4724"/>
    <w:rsid w:val="6E3E5591"/>
    <w:rsid w:val="6E4215C6"/>
    <w:rsid w:val="6E4B0158"/>
    <w:rsid w:val="6E4D611F"/>
    <w:rsid w:val="6E567C9E"/>
    <w:rsid w:val="6E5A2442"/>
    <w:rsid w:val="6E635028"/>
    <w:rsid w:val="6E636A71"/>
    <w:rsid w:val="6E68362E"/>
    <w:rsid w:val="6E685B0A"/>
    <w:rsid w:val="6E687486"/>
    <w:rsid w:val="6E73404A"/>
    <w:rsid w:val="6E7355AA"/>
    <w:rsid w:val="6E7D300B"/>
    <w:rsid w:val="6E823708"/>
    <w:rsid w:val="6E8A3EFB"/>
    <w:rsid w:val="6E920B5B"/>
    <w:rsid w:val="6E990B16"/>
    <w:rsid w:val="6E995AB6"/>
    <w:rsid w:val="6EA80CC5"/>
    <w:rsid w:val="6EB169D3"/>
    <w:rsid w:val="6EB21539"/>
    <w:rsid w:val="6EB829B1"/>
    <w:rsid w:val="6EB978A9"/>
    <w:rsid w:val="6ECC3A24"/>
    <w:rsid w:val="6ED86D3E"/>
    <w:rsid w:val="6EE9744F"/>
    <w:rsid w:val="6EEC3F7C"/>
    <w:rsid w:val="6EF3602C"/>
    <w:rsid w:val="6EF65A2C"/>
    <w:rsid w:val="6EFE1485"/>
    <w:rsid w:val="6F0247B3"/>
    <w:rsid w:val="6F031F8E"/>
    <w:rsid w:val="6F09008D"/>
    <w:rsid w:val="6F0C735C"/>
    <w:rsid w:val="6F0D382C"/>
    <w:rsid w:val="6F2632E8"/>
    <w:rsid w:val="6F30363A"/>
    <w:rsid w:val="6F3316E5"/>
    <w:rsid w:val="6F3F40F9"/>
    <w:rsid w:val="6F424B2F"/>
    <w:rsid w:val="6F5E0205"/>
    <w:rsid w:val="6F632569"/>
    <w:rsid w:val="6F635644"/>
    <w:rsid w:val="6F635E50"/>
    <w:rsid w:val="6F6F14E1"/>
    <w:rsid w:val="6F76254B"/>
    <w:rsid w:val="6F7C40AC"/>
    <w:rsid w:val="6F8040F4"/>
    <w:rsid w:val="6F877B03"/>
    <w:rsid w:val="6F905BB3"/>
    <w:rsid w:val="6F9A3007"/>
    <w:rsid w:val="6FA629D4"/>
    <w:rsid w:val="6FA75ADB"/>
    <w:rsid w:val="6FB77ED4"/>
    <w:rsid w:val="6FBD3BBF"/>
    <w:rsid w:val="6FBD4D2F"/>
    <w:rsid w:val="6FBF4710"/>
    <w:rsid w:val="6FC9109F"/>
    <w:rsid w:val="6FCC6779"/>
    <w:rsid w:val="6FDB518F"/>
    <w:rsid w:val="6FE529ED"/>
    <w:rsid w:val="6FF733A7"/>
    <w:rsid w:val="70003DD9"/>
    <w:rsid w:val="70072915"/>
    <w:rsid w:val="70172090"/>
    <w:rsid w:val="70195E88"/>
    <w:rsid w:val="701D43BA"/>
    <w:rsid w:val="70216162"/>
    <w:rsid w:val="70291C03"/>
    <w:rsid w:val="702B6F43"/>
    <w:rsid w:val="7032079E"/>
    <w:rsid w:val="703C186A"/>
    <w:rsid w:val="70473C04"/>
    <w:rsid w:val="704C34F0"/>
    <w:rsid w:val="70570007"/>
    <w:rsid w:val="705843B4"/>
    <w:rsid w:val="7058635C"/>
    <w:rsid w:val="70611FB0"/>
    <w:rsid w:val="70655A58"/>
    <w:rsid w:val="706A37E5"/>
    <w:rsid w:val="70822BAD"/>
    <w:rsid w:val="708746BC"/>
    <w:rsid w:val="708A15C0"/>
    <w:rsid w:val="708F7F54"/>
    <w:rsid w:val="709E3D85"/>
    <w:rsid w:val="70A36A35"/>
    <w:rsid w:val="70A708B1"/>
    <w:rsid w:val="70A97192"/>
    <w:rsid w:val="70AC660B"/>
    <w:rsid w:val="70B17138"/>
    <w:rsid w:val="70BB2EF0"/>
    <w:rsid w:val="70BC2801"/>
    <w:rsid w:val="70C6646C"/>
    <w:rsid w:val="70D82DC7"/>
    <w:rsid w:val="70E4685D"/>
    <w:rsid w:val="70FC2D1E"/>
    <w:rsid w:val="71014479"/>
    <w:rsid w:val="71015D6B"/>
    <w:rsid w:val="71067D7F"/>
    <w:rsid w:val="71071665"/>
    <w:rsid w:val="71115386"/>
    <w:rsid w:val="71126908"/>
    <w:rsid w:val="71151975"/>
    <w:rsid w:val="711D1189"/>
    <w:rsid w:val="711E1BAA"/>
    <w:rsid w:val="712A2C1F"/>
    <w:rsid w:val="712A5215"/>
    <w:rsid w:val="712F2B3D"/>
    <w:rsid w:val="71336A65"/>
    <w:rsid w:val="713A6008"/>
    <w:rsid w:val="7144725F"/>
    <w:rsid w:val="71477B0C"/>
    <w:rsid w:val="7148395C"/>
    <w:rsid w:val="714B215B"/>
    <w:rsid w:val="714E2D72"/>
    <w:rsid w:val="71545B37"/>
    <w:rsid w:val="71570E43"/>
    <w:rsid w:val="71573E01"/>
    <w:rsid w:val="716F00B2"/>
    <w:rsid w:val="71702748"/>
    <w:rsid w:val="71803599"/>
    <w:rsid w:val="71867894"/>
    <w:rsid w:val="718E3AA9"/>
    <w:rsid w:val="71920F6D"/>
    <w:rsid w:val="7196106A"/>
    <w:rsid w:val="719E0160"/>
    <w:rsid w:val="719F7A78"/>
    <w:rsid w:val="71A03079"/>
    <w:rsid w:val="71AD22C0"/>
    <w:rsid w:val="71B623F6"/>
    <w:rsid w:val="71B84778"/>
    <w:rsid w:val="71C17B7E"/>
    <w:rsid w:val="71C7540C"/>
    <w:rsid w:val="71E857A5"/>
    <w:rsid w:val="71F64A63"/>
    <w:rsid w:val="71F870B8"/>
    <w:rsid w:val="71F9130C"/>
    <w:rsid w:val="72021233"/>
    <w:rsid w:val="720B2A1D"/>
    <w:rsid w:val="72197AB8"/>
    <w:rsid w:val="7231773E"/>
    <w:rsid w:val="7234129A"/>
    <w:rsid w:val="72502F9F"/>
    <w:rsid w:val="7251515C"/>
    <w:rsid w:val="725817D3"/>
    <w:rsid w:val="725B7688"/>
    <w:rsid w:val="726E6AD4"/>
    <w:rsid w:val="727C422C"/>
    <w:rsid w:val="7288329F"/>
    <w:rsid w:val="728D72D4"/>
    <w:rsid w:val="728E71EE"/>
    <w:rsid w:val="7292045A"/>
    <w:rsid w:val="72974DBE"/>
    <w:rsid w:val="72983FF8"/>
    <w:rsid w:val="72985E1E"/>
    <w:rsid w:val="72A20C20"/>
    <w:rsid w:val="72AC5E95"/>
    <w:rsid w:val="72BF43E3"/>
    <w:rsid w:val="72C13ED7"/>
    <w:rsid w:val="72CF1AC7"/>
    <w:rsid w:val="72D51F74"/>
    <w:rsid w:val="72DC0F93"/>
    <w:rsid w:val="72DD2607"/>
    <w:rsid w:val="72E42AFA"/>
    <w:rsid w:val="72E85578"/>
    <w:rsid w:val="72EB4466"/>
    <w:rsid w:val="72FD426E"/>
    <w:rsid w:val="73043CFC"/>
    <w:rsid w:val="7317244F"/>
    <w:rsid w:val="7329654B"/>
    <w:rsid w:val="732B736C"/>
    <w:rsid w:val="732C334F"/>
    <w:rsid w:val="733501BF"/>
    <w:rsid w:val="734F0C79"/>
    <w:rsid w:val="734F4185"/>
    <w:rsid w:val="73520620"/>
    <w:rsid w:val="73536078"/>
    <w:rsid w:val="7363274A"/>
    <w:rsid w:val="73691A4A"/>
    <w:rsid w:val="7371152B"/>
    <w:rsid w:val="73777B4D"/>
    <w:rsid w:val="73777D21"/>
    <w:rsid w:val="738A6895"/>
    <w:rsid w:val="738D1AFA"/>
    <w:rsid w:val="73917325"/>
    <w:rsid w:val="7395427D"/>
    <w:rsid w:val="73AE5485"/>
    <w:rsid w:val="73B1087F"/>
    <w:rsid w:val="73BC7089"/>
    <w:rsid w:val="73BE7067"/>
    <w:rsid w:val="73E406FD"/>
    <w:rsid w:val="73E52294"/>
    <w:rsid w:val="73EC5464"/>
    <w:rsid w:val="73FF2D64"/>
    <w:rsid w:val="74137154"/>
    <w:rsid w:val="741819AA"/>
    <w:rsid w:val="7421310D"/>
    <w:rsid w:val="74257F79"/>
    <w:rsid w:val="74273820"/>
    <w:rsid w:val="7427471C"/>
    <w:rsid w:val="74281B3F"/>
    <w:rsid w:val="742D7CD7"/>
    <w:rsid w:val="74355B0B"/>
    <w:rsid w:val="743C33B0"/>
    <w:rsid w:val="743C7157"/>
    <w:rsid w:val="743C71DA"/>
    <w:rsid w:val="74405F97"/>
    <w:rsid w:val="74416F54"/>
    <w:rsid w:val="744A0435"/>
    <w:rsid w:val="744B354F"/>
    <w:rsid w:val="7450294E"/>
    <w:rsid w:val="74543139"/>
    <w:rsid w:val="74672BF8"/>
    <w:rsid w:val="746B732F"/>
    <w:rsid w:val="746E18CB"/>
    <w:rsid w:val="746F3904"/>
    <w:rsid w:val="748D52FA"/>
    <w:rsid w:val="74993216"/>
    <w:rsid w:val="74A25132"/>
    <w:rsid w:val="74B44784"/>
    <w:rsid w:val="74B808BF"/>
    <w:rsid w:val="74C03187"/>
    <w:rsid w:val="74E427B4"/>
    <w:rsid w:val="74E4756E"/>
    <w:rsid w:val="74ED19FF"/>
    <w:rsid w:val="75084E8F"/>
    <w:rsid w:val="7509261E"/>
    <w:rsid w:val="75202656"/>
    <w:rsid w:val="752231CE"/>
    <w:rsid w:val="75276DE2"/>
    <w:rsid w:val="753F3D3B"/>
    <w:rsid w:val="754723D0"/>
    <w:rsid w:val="75482D09"/>
    <w:rsid w:val="75633812"/>
    <w:rsid w:val="756F29D2"/>
    <w:rsid w:val="75752B04"/>
    <w:rsid w:val="758849E0"/>
    <w:rsid w:val="758910BB"/>
    <w:rsid w:val="75920C70"/>
    <w:rsid w:val="75955DA9"/>
    <w:rsid w:val="759601E2"/>
    <w:rsid w:val="75977910"/>
    <w:rsid w:val="759F2A35"/>
    <w:rsid w:val="75AD4ED0"/>
    <w:rsid w:val="75B15C41"/>
    <w:rsid w:val="75CC5191"/>
    <w:rsid w:val="75CC694A"/>
    <w:rsid w:val="75D12923"/>
    <w:rsid w:val="75D173F4"/>
    <w:rsid w:val="75EA364B"/>
    <w:rsid w:val="75F20996"/>
    <w:rsid w:val="75F65644"/>
    <w:rsid w:val="75F96973"/>
    <w:rsid w:val="76035FE9"/>
    <w:rsid w:val="760A4340"/>
    <w:rsid w:val="760B24B6"/>
    <w:rsid w:val="76123E1D"/>
    <w:rsid w:val="761270F3"/>
    <w:rsid w:val="761724E5"/>
    <w:rsid w:val="762545DB"/>
    <w:rsid w:val="762A17C0"/>
    <w:rsid w:val="762B7A6C"/>
    <w:rsid w:val="762E6798"/>
    <w:rsid w:val="763E6F8E"/>
    <w:rsid w:val="76425118"/>
    <w:rsid w:val="764838B9"/>
    <w:rsid w:val="764B15DA"/>
    <w:rsid w:val="764C09B4"/>
    <w:rsid w:val="764C2E10"/>
    <w:rsid w:val="764F5A52"/>
    <w:rsid w:val="76521C57"/>
    <w:rsid w:val="766163C1"/>
    <w:rsid w:val="76665926"/>
    <w:rsid w:val="766A4A0D"/>
    <w:rsid w:val="768C454B"/>
    <w:rsid w:val="7692667A"/>
    <w:rsid w:val="76982273"/>
    <w:rsid w:val="769A7352"/>
    <w:rsid w:val="769C4619"/>
    <w:rsid w:val="76A177B8"/>
    <w:rsid w:val="76A766BF"/>
    <w:rsid w:val="76AD2761"/>
    <w:rsid w:val="76B64E53"/>
    <w:rsid w:val="76B8001A"/>
    <w:rsid w:val="76B81599"/>
    <w:rsid w:val="76B97D11"/>
    <w:rsid w:val="76BB2F21"/>
    <w:rsid w:val="76BC314A"/>
    <w:rsid w:val="76C12918"/>
    <w:rsid w:val="76CC16BA"/>
    <w:rsid w:val="76CF29D3"/>
    <w:rsid w:val="76E91124"/>
    <w:rsid w:val="76EB0D11"/>
    <w:rsid w:val="76EC51FD"/>
    <w:rsid w:val="76F410B8"/>
    <w:rsid w:val="76F70779"/>
    <w:rsid w:val="76F71C30"/>
    <w:rsid w:val="77001F24"/>
    <w:rsid w:val="770A6C33"/>
    <w:rsid w:val="771A04D1"/>
    <w:rsid w:val="771B67DF"/>
    <w:rsid w:val="771E64D7"/>
    <w:rsid w:val="77240552"/>
    <w:rsid w:val="77272CAB"/>
    <w:rsid w:val="772B4341"/>
    <w:rsid w:val="7731599F"/>
    <w:rsid w:val="773A5E14"/>
    <w:rsid w:val="77451578"/>
    <w:rsid w:val="774963F2"/>
    <w:rsid w:val="77576666"/>
    <w:rsid w:val="77636E18"/>
    <w:rsid w:val="776564EF"/>
    <w:rsid w:val="776709A1"/>
    <w:rsid w:val="77674898"/>
    <w:rsid w:val="77692EA3"/>
    <w:rsid w:val="77695538"/>
    <w:rsid w:val="7773758E"/>
    <w:rsid w:val="77825248"/>
    <w:rsid w:val="7785098B"/>
    <w:rsid w:val="77870D91"/>
    <w:rsid w:val="778A3229"/>
    <w:rsid w:val="779258CC"/>
    <w:rsid w:val="7794068F"/>
    <w:rsid w:val="779418F6"/>
    <w:rsid w:val="779A012A"/>
    <w:rsid w:val="779A096B"/>
    <w:rsid w:val="779B52FF"/>
    <w:rsid w:val="779C011D"/>
    <w:rsid w:val="77A00E75"/>
    <w:rsid w:val="77A80D17"/>
    <w:rsid w:val="77B841F3"/>
    <w:rsid w:val="77BF39C7"/>
    <w:rsid w:val="77C078B1"/>
    <w:rsid w:val="77CE7C36"/>
    <w:rsid w:val="77E537F1"/>
    <w:rsid w:val="77E66E3C"/>
    <w:rsid w:val="77E84D6F"/>
    <w:rsid w:val="77F3789A"/>
    <w:rsid w:val="77F70588"/>
    <w:rsid w:val="77F71324"/>
    <w:rsid w:val="78005A86"/>
    <w:rsid w:val="78011BF1"/>
    <w:rsid w:val="780326B9"/>
    <w:rsid w:val="780332E5"/>
    <w:rsid w:val="7804698A"/>
    <w:rsid w:val="7833711D"/>
    <w:rsid w:val="7834483F"/>
    <w:rsid w:val="78460D63"/>
    <w:rsid w:val="78497C2E"/>
    <w:rsid w:val="78502D35"/>
    <w:rsid w:val="7854087B"/>
    <w:rsid w:val="786A4053"/>
    <w:rsid w:val="78717849"/>
    <w:rsid w:val="78782A0D"/>
    <w:rsid w:val="78785A2F"/>
    <w:rsid w:val="787B5060"/>
    <w:rsid w:val="788720E7"/>
    <w:rsid w:val="78A90B04"/>
    <w:rsid w:val="78AC20B5"/>
    <w:rsid w:val="78B0552C"/>
    <w:rsid w:val="78C34D95"/>
    <w:rsid w:val="78C53485"/>
    <w:rsid w:val="78C6693F"/>
    <w:rsid w:val="78C76A01"/>
    <w:rsid w:val="78C9386A"/>
    <w:rsid w:val="78DA30DC"/>
    <w:rsid w:val="78EB5FB1"/>
    <w:rsid w:val="78EC45D8"/>
    <w:rsid w:val="78EC6DF0"/>
    <w:rsid w:val="78F02AF8"/>
    <w:rsid w:val="78F5335B"/>
    <w:rsid w:val="78F554EB"/>
    <w:rsid w:val="78FF5EC9"/>
    <w:rsid w:val="791843E7"/>
    <w:rsid w:val="79233426"/>
    <w:rsid w:val="79260F03"/>
    <w:rsid w:val="792B77BF"/>
    <w:rsid w:val="792E73F2"/>
    <w:rsid w:val="79395A92"/>
    <w:rsid w:val="793C6522"/>
    <w:rsid w:val="794008FB"/>
    <w:rsid w:val="79412D41"/>
    <w:rsid w:val="794708D9"/>
    <w:rsid w:val="794B21A1"/>
    <w:rsid w:val="7964574A"/>
    <w:rsid w:val="79804706"/>
    <w:rsid w:val="79835FC2"/>
    <w:rsid w:val="79840597"/>
    <w:rsid w:val="79941CF2"/>
    <w:rsid w:val="79973382"/>
    <w:rsid w:val="79B4353E"/>
    <w:rsid w:val="79C07B43"/>
    <w:rsid w:val="79C832AC"/>
    <w:rsid w:val="79D33056"/>
    <w:rsid w:val="79D715DF"/>
    <w:rsid w:val="79D85AB0"/>
    <w:rsid w:val="79E16F93"/>
    <w:rsid w:val="79E701E5"/>
    <w:rsid w:val="79EC0256"/>
    <w:rsid w:val="79F60153"/>
    <w:rsid w:val="79FB6E2C"/>
    <w:rsid w:val="79FF7B91"/>
    <w:rsid w:val="7A165123"/>
    <w:rsid w:val="7A1C011A"/>
    <w:rsid w:val="7A36322F"/>
    <w:rsid w:val="7A431242"/>
    <w:rsid w:val="7A444657"/>
    <w:rsid w:val="7A4B3D21"/>
    <w:rsid w:val="7A4C2D60"/>
    <w:rsid w:val="7A5458B9"/>
    <w:rsid w:val="7A5E0869"/>
    <w:rsid w:val="7A69432B"/>
    <w:rsid w:val="7A6E4BF5"/>
    <w:rsid w:val="7A6E5088"/>
    <w:rsid w:val="7A7F4A1E"/>
    <w:rsid w:val="7A8246BA"/>
    <w:rsid w:val="7A851D5D"/>
    <w:rsid w:val="7A8A2267"/>
    <w:rsid w:val="7AA07F3B"/>
    <w:rsid w:val="7AAF4757"/>
    <w:rsid w:val="7AB53126"/>
    <w:rsid w:val="7AB76FE8"/>
    <w:rsid w:val="7AB8122B"/>
    <w:rsid w:val="7ACC526F"/>
    <w:rsid w:val="7AD268E2"/>
    <w:rsid w:val="7ADC0B33"/>
    <w:rsid w:val="7AE14C19"/>
    <w:rsid w:val="7AE53859"/>
    <w:rsid w:val="7AE727D9"/>
    <w:rsid w:val="7AEA174E"/>
    <w:rsid w:val="7B05641A"/>
    <w:rsid w:val="7B0B692F"/>
    <w:rsid w:val="7B274176"/>
    <w:rsid w:val="7B3057E4"/>
    <w:rsid w:val="7B306163"/>
    <w:rsid w:val="7B364C38"/>
    <w:rsid w:val="7B3E17AA"/>
    <w:rsid w:val="7B401C79"/>
    <w:rsid w:val="7B440ED6"/>
    <w:rsid w:val="7B4678D7"/>
    <w:rsid w:val="7B4B2A93"/>
    <w:rsid w:val="7B516F3E"/>
    <w:rsid w:val="7B527515"/>
    <w:rsid w:val="7B78553B"/>
    <w:rsid w:val="7B786809"/>
    <w:rsid w:val="7B7A004F"/>
    <w:rsid w:val="7B890A24"/>
    <w:rsid w:val="7B8A4A8A"/>
    <w:rsid w:val="7B9E6DBB"/>
    <w:rsid w:val="7BAA485C"/>
    <w:rsid w:val="7BAD1591"/>
    <w:rsid w:val="7BCD64C2"/>
    <w:rsid w:val="7BD3716B"/>
    <w:rsid w:val="7BD40348"/>
    <w:rsid w:val="7BEC2711"/>
    <w:rsid w:val="7BF55850"/>
    <w:rsid w:val="7C1054B7"/>
    <w:rsid w:val="7C131E53"/>
    <w:rsid w:val="7C261982"/>
    <w:rsid w:val="7C26369C"/>
    <w:rsid w:val="7C2A465C"/>
    <w:rsid w:val="7C2B3EF5"/>
    <w:rsid w:val="7C2E06D8"/>
    <w:rsid w:val="7C305879"/>
    <w:rsid w:val="7C34521A"/>
    <w:rsid w:val="7C4067F6"/>
    <w:rsid w:val="7C417F31"/>
    <w:rsid w:val="7C4674BA"/>
    <w:rsid w:val="7C4A2BD1"/>
    <w:rsid w:val="7C4C0053"/>
    <w:rsid w:val="7C576C70"/>
    <w:rsid w:val="7C6E4349"/>
    <w:rsid w:val="7C77043F"/>
    <w:rsid w:val="7C8A7CDC"/>
    <w:rsid w:val="7C8F65F9"/>
    <w:rsid w:val="7C9B5288"/>
    <w:rsid w:val="7C9E5A24"/>
    <w:rsid w:val="7CA745A1"/>
    <w:rsid w:val="7CAC476D"/>
    <w:rsid w:val="7CAF4DCB"/>
    <w:rsid w:val="7CB4006B"/>
    <w:rsid w:val="7CB93ABB"/>
    <w:rsid w:val="7CC475DB"/>
    <w:rsid w:val="7CCA4C41"/>
    <w:rsid w:val="7CD36BD6"/>
    <w:rsid w:val="7CDE3831"/>
    <w:rsid w:val="7CE05980"/>
    <w:rsid w:val="7CE656F0"/>
    <w:rsid w:val="7CED34FF"/>
    <w:rsid w:val="7CEE5458"/>
    <w:rsid w:val="7CF04D9E"/>
    <w:rsid w:val="7CF26588"/>
    <w:rsid w:val="7CF565D7"/>
    <w:rsid w:val="7CF7605D"/>
    <w:rsid w:val="7CF867A7"/>
    <w:rsid w:val="7CFA3A46"/>
    <w:rsid w:val="7CFC78A1"/>
    <w:rsid w:val="7D0F5720"/>
    <w:rsid w:val="7D186F3E"/>
    <w:rsid w:val="7D24652E"/>
    <w:rsid w:val="7D2561FD"/>
    <w:rsid w:val="7D2E198F"/>
    <w:rsid w:val="7D342E03"/>
    <w:rsid w:val="7D355821"/>
    <w:rsid w:val="7D3B3737"/>
    <w:rsid w:val="7D3D73AF"/>
    <w:rsid w:val="7D3F6E5D"/>
    <w:rsid w:val="7D5052A6"/>
    <w:rsid w:val="7D514310"/>
    <w:rsid w:val="7D5B27C9"/>
    <w:rsid w:val="7D62117D"/>
    <w:rsid w:val="7D6B7F02"/>
    <w:rsid w:val="7D834A16"/>
    <w:rsid w:val="7D9D0A97"/>
    <w:rsid w:val="7D9D438F"/>
    <w:rsid w:val="7DA514D2"/>
    <w:rsid w:val="7DAE6BE3"/>
    <w:rsid w:val="7DCD1A27"/>
    <w:rsid w:val="7DCD4EB5"/>
    <w:rsid w:val="7DDF20BC"/>
    <w:rsid w:val="7DE07962"/>
    <w:rsid w:val="7DE34955"/>
    <w:rsid w:val="7DFF1E31"/>
    <w:rsid w:val="7E0565CD"/>
    <w:rsid w:val="7E090313"/>
    <w:rsid w:val="7E097A5B"/>
    <w:rsid w:val="7E1B1ABE"/>
    <w:rsid w:val="7E3E0FEC"/>
    <w:rsid w:val="7E3E1EF2"/>
    <w:rsid w:val="7E566EA2"/>
    <w:rsid w:val="7E5B15D2"/>
    <w:rsid w:val="7E5B76B4"/>
    <w:rsid w:val="7E5C1ABA"/>
    <w:rsid w:val="7E61281D"/>
    <w:rsid w:val="7E622778"/>
    <w:rsid w:val="7E726401"/>
    <w:rsid w:val="7E756346"/>
    <w:rsid w:val="7E7D055C"/>
    <w:rsid w:val="7E8104AE"/>
    <w:rsid w:val="7E85174A"/>
    <w:rsid w:val="7E8B68B9"/>
    <w:rsid w:val="7EA77314"/>
    <w:rsid w:val="7EAA7C26"/>
    <w:rsid w:val="7EAF1FAA"/>
    <w:rsid w:val="7EB4653A"/>
    <w:rsid w:val="7EBD44C4"/>
    <w:rsid w:val="7EC478B9"/>
    <w:rsid w:val="7ECA4601"/>
    <w:rsid w:val="7ECE7C95"/>
    <w:rsid w:val="7EDC22AD"/>
    <w:rsid w:val="7EDE4C34"/>
    <w:rsid w:val="7EE34086"/>
    <w:rsid w:val="7EE55F89"/>
    <w:rsid w:val="7EEB5719"/>
    <w:rsid w:val="7EF215E8"/>
    <w:rsid w:val="7EF525E1"/>
    <w:rsid w:val="7EF74FC9"/>
    <w:rsid w:val="7F000B6A"/>
    <w:rsid w:val="7F0178C5"/>
    <w:rsid w:val="7F022EBD"/>
    <w:rsid w:val="7F033852"/>
    <w:rsid w:val="7F0B5962"/>
    <w:rsid w:val="7F0C2035"/>
    <w:rsid w:val="7F0F0FAF"/>
    <w:rsid w:val="7F0F7992"/>
    <w:rsid w:val="7F1B0865"/>
    <w:rsid w:val="7F271AA3"/>
    <w:rsid w:val="7F354370"/>
    <w:rsid w:val="7F397345"/>
    <w:rsid w:val="7F4D1868"/>
    <w:rsid w:val="7F4D3BF2"/>
    <w:rsid w:val="7F542B37"/>
    <w:rsid w:val="7F57085D"/>
    <w:rsid w:val="7F6A77AB"/>
    <w:rsid w:val="7F6B2248"/>
    <w:rsid w:val="7F720040"/>
    <w:rsid w:val="7F725E7C"/>
    <w:rsid w:val="7F73228D"/>
    <w:rsid w:val="7F761ADC"/>
    <w:rsid w:val="7F7D7A8E"/>
    <w:rsid w:val="7F872588"/>
    <w:rsid w:val="7F8725BA"/>
    <w:rsid w:val="7F8C6A8F"/>
    <w:rsid w:val="7F994DB5"/>
    <w:rsid w:val="7F9C175D"/>
    <w:rsid w:val="7F9F773D"/>
    <w:rsid w:val="7FA85877"/>
    <w:rsid w:val="7FAB3A81"/>
    <w:rsid w:val="7FBB77A4"/>
    <w:rsid w:val="7FCB6843"/>
    <w:rsid w:val="7FDC52B9"/>
    <w:rsid w:val="7FE653BC"/>
    <w:rsid w:val="7FEA5C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iPriority="0" w:semiHidden="0" w:name="annotation text"/>
    <w:lsdException w:qFormat="1" w:unhideWhenUsed="0" w:uiPriority="0" w:name="header"/>
    <w:lsdException w:qFormat="1" w:uiPriority="0" w:semiHidden="0" w:name="footer"/>
    <w:lsdException w:uiPriority="99" w:name="index heading"/>
    <w:lsdException w:qFormat="1" w:unhideWhenUsed="0" w:uiPriority="0" w:semiHidden="0" w:name="caption"/>
    <w:lsdException w:qFormat="1"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55"/>
    <w:qFormat/>
    <w:uiPriority w:val="0"/>
    <w:pPr>
      <w:numPr>
        <w:ilvl w:val="1"/>
      </w:numPr>
      <w:pBdr>
        <w:top w:val="none" w:color="auto" w:sz="0" w:space="0"/>
      </w:pBdr>
      <w:spacing w:before="50" w:after="50" w:line="260" w:lineRule="auto"/>
      <w:ind w:left="0" w:right="0" w:rightChars="0"/>
      <w:outlineLvl w:val="1"/>
    </w:pPr>
    <w:rPr>
      <w:rFonts w:ascii="Times New Roman" w:hAnsi="Times New Roman" w:eastAsia="MS Mincho"/>
      <w:b/>
      <w:sz w:val="28"/>
    </w:rPr>
  </w:style>
  <w:style w:type="paragraph" w:styleId="4">
    <w:name w:val="heading 3"/>
    <w:basedOn w:val="3"/>
    <w:next w:val="1"/>
    <w:link w:val="54"/>
    <w:qFormat/>
    <w:uiPriority w:val="0"/>
    <w:pPr>
      <w:numPr>
        <w:ilvl w:val="2"/>
      </w:numPr>
      <w:spacing w:before="120"/>
      <w:ind w:left="0"/>
      <w:outlineLvl w:val="2"/>
    </w:pPr>
    <w:rPr>
      <w:sz w:val="24"/>
    </w:rPr>
  </w:style>
  <w:style w:type="paragraph" w:styleId="5">
    <w:name w:val="heading 4"/>
    <w:basedOn w:val="4"/>
    <w:next w:val="1"/>
    <w:link w:val="53"/>
    <w:qFormat/>
    <w:uiPriority w:val="0"/>
    <w:pPr>
      <w:ind w:left="1418" w:hanging="1418"/>
      <w:outlineLvl w:val="3"/>
    </w:p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caption"/>
    <w:basedOn w:val="1"/>
    <w:next w:val="1"/>
    <w:qFormat/>
    <w:uiPriority w:val="0"/>
    <w:pPr>
      <w:overflowPunct w:val="0"/>
      <w:autoSpaceDE w:val="0"/>
      <w:autoSpaceDN w:val="0"/>
      <w:adjustRightInd w:val="0"/>
      <w:spacing w:before="120" w:after="120"/>
      <w:textAlignment w:val="baseline"/>
    </w:pPr>
    <w:rPr>
      <w:b/>
    </w:rPr>
  </w:style>
  <w:style w:type="paragraph" w:styleId="10">
    <w:name w:val="Document Map"/>
    <w:basedOn w:val="1"/>
    <w:link w:val="41"/>
    <w:semiHidden/>
    <w:unhideWhenUsed/>
    <w:qFormat/>
    <w:uiPriority w:val="99"/>
    <w:rPr>
      <w:rFonts w:ascii="宋体"/>
      <w:sz w:val="18"/>
      <w:szCs w:val="18"/>
    </w:rPr>
  </w:style>
  <w:style w:type="paragraph" w:styleId="11">
    <w:name w:val="annotation text"/>
    <w:basedOn w:val="1"/>
    <w:link w:val="42"/>
    <w:unhideWhenUsed/>
    <w:qFormat/>
    <w:uiPriority w:val="0"/>
    <w:pPr>
      <w:spacing w:before="120" w:after="120"/>
      <w:jc w:val="left"/>
    </w:pPr>
  </w:style>
  <w:style w:type="paragraph" w:styleId="12">
    <w:name w:val="List 2"/>
    <w:basedOn w:val="13"/>
    <w:qFormat/>
    <w:uiPriority w:val="0"/>
    <w:pPr>
      <w:numPr>
        <w:ilvl w:val="0"/>
        <w:numId w:val="2"/>
      </w:numPr>
      <w:snapToGrid w:val="0"/>
      <w:spacing w:before="120"/>
      <w:ind w:firstLine="0" w:firstLineChars="0"/>
      <w:contextualSpacing w:val="0"/>
      <w:jc w:val="both"/>
    </w:pPr>
    <w:rPr>
      <w:rFonts w:eastAsia="宋体"/>
      <w:bCs/>
      <w:sz w:val="21"/>
      <w:szCs w:val="21"/>
      <w:lang w:val="en-GB" w:eastAsia="zh-CN"/>
    </w:rPr>
  </w:style>
  <w:style w:type="paragraph" w:styleId="13">
    <w:name w:val="List"/>
    <w:basedOn w:val="1"/>
    <w:qFormat/>
    <w:uiPriority w:val="0"/>
    <w:pPr>
      <w:ind w:left="568" w:hanging="284"/>
    </w:pPr>
  </w:style>
  <w:style w:type="paragraph" w:styleId="14">
    <w:name w:val="toc 3"/>
    <w:basedOn w:val="1"/>
    <w:next w:val="1"/>
    <w:unhideWhenUsed/>
    <w:qFormat/>
    <w:uiPriority w:val="39"/>
    <w:pPr>
      <w:adjustRightInd w:val="0"/>
      <w:ind w:left="1282" w:leftChars="400" w:hanging="442" w:hangingChars="200"/>
    </w:pPr>
    <w:rPr>
      <w:b/>
      <w:i/>
      <w:sz w:val="20"/>
    </w:rPr>
  </w:style>
  <w:style w:type="paragraph" w:styleId="15">
    <w:name w:val="Balloon Text"/>
    <w:basedOn w:val="1"/>
    <w:link w:val="30"/>
    <w:semiHidden/>
    <w:unhideWhenUsed/>
    <w:qFormat/>
    <w:uiPriority w:val="99"/>
    <w:pPr>
      <w:spacing w:line="240" w:lineRule="auto"/>
    </w:pPr>
    <w:rPr>
      <w:sz w:val="18"/>
      <w:szCs w:val="18"/>
    </w:rPr>
  </w:style>
  <w:style w:type="paragraph" w:styleId="16">
    <w:name w:val="footer"/>
    <w:basedOn w:val="1"/>
    <w:link w:val="39"/>
    <w:unhideWhenUsed/>
    <w:qFormat/>
    <w:uiPriority w:val="0"/>
    <w:pPr>
      <w:tabs>
        <w:tab w:val="center" w:pos="4153"/>
        <w:tab w:val="right" w:pos="8306"/>
      </w:tabs>
      <w:snapToGrid w:val="0"/>
      <w:jc w:val="left"/>
    </w:pPr>
    <w:rPr>
      <w:sz w:val="18"/>
      <w:szCs w:val="18"/>
    </w:rPr>
  </w:style>
  <w:style w:type="paragraph" w:styleId="17">
    <w:name w:val="header"/>
    <w:basedOn w:val="1"/>
    <w:link w:val="38"/>
    <w:semiHidden/>
    <w:qFormat/>
    <w:uiPriority w:val="0"/>
    <w:pPr>
      <w:tabs>
        <w:tab w:val="center" w:pos="4680"/>
        <w:tab w:val="right" w:pos="9360"/>
      </w:tabs>
      <w:spacing w:line="240" w:lineRule="auto"/>
    </w:pPr>
  </w:style>
  <w:style w:type="paragraph" w:styleId="18">
    <w:name w:val="toc 1"/>
    <w:basedOn w:val="1"/>
    <w:next w:val="1"/>
    <w:unhideWhenUsed/>
    <w:qFormat/>
    <w:uiPriority w:val="39"/>
    <w:rPr>
      <w:rFonts w:eastAsiaTheme="minorEastAsia"/>
      <w:b/>
      <w:i/>
      <w:sz w:val="20"/>
    </w:rPr>
  </w:style>
  <w:style w:type="paragraph" w:styleId="19">
    <w:name w:val="table of figures"/>
    <w:basedOn w:val="1"/>
    <w:next w:val="1"/>
    <w:semiHidden/>
    <w:unhideWhenUsed/>
    <w:qFormat/>
    <w:uiPriority w:val="99"/>
    <w:pPr>
      <w:ind w:left="200" w:leftChars="200" w:hanging="200" w:hangingChars="200"/>
    </w:pPr>
  </w:style>
  <w:style w:type="paragraph" w:styleId="20">
    <w:name w:val="toc 2"/>
    <w:basedOn w:val="1"/>
    <w:next w:val="1"/>
    <w:unhideWhenUsed/>
    <w:qFormat/>
    <w:uiPriority w:val="39"/>
    <w:pPr>
      <w:ind w:left="420" w:leftChars="200"/>
    </w:pPr>
    <w:rPr>
      <w:b/>
      <w:i/>
      <w:sz w:val="20"/>
    </w:rPr>
  </w:style>
  <w:style w:type="paragraph" w:styleId="21">
    <w:name w:val="Normal (Web)"/>
    <w:basedOn w:val="1"/>
    <w:semiHidden/>
    <w:unhideWhenUsed/>
    <w:qFormat/>
    <w:uiPriority w:val="99"/>
    <w:pPr>
      <w:spacing w:beforeAutospacing="1" w:afterAutospacing="1"/>
      <w:jc w:val="left"/>
    </w:pPr>
    <w:rPr>
      <w:kern w:val="0"/>
      <w:sz w:val="24"/>
    </w:rPr>
  </w:style>
  <w:style w:type="paragraph" w:styleId="22">
    <w:name w:val="annotation subject"/>
    <w:basedOn w:val="11"/>
    <w:next w:val="11"/>
    <w:link w:val="43"/>
    <w:semiHidden/>
    <w:unhideWhenUsed/>
    <w:qFormat/>
    <w:uiPriority w:val="99"/>
    <w:rPr>
      <w:b/>
      <w:bCs/>
    </w:rPr>
  </w:style>
  <w:style w:type="table" w:styleId="24">
    <w:name w:val="Table Grid"/>
    <w:basedOn w:val="23"/>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Strong"/>
    <w:qFormat/>
    <w:uiPriority w:val="22"/>
    <w:rPr>
      <w:b/>
      <w:bCs/>
    </w:rPr>
  </w:style>
  <w:style w:type="character" w:styleId="27">
    <w:name w:val="Emphasis"/>
    <w:basedOn w:val="25"/>
    <w:qFormat/>
    <w:uiPriority w:val="20"/>
    <w:rPr>
      <w:i/>
    </w:rPr>
  </w:style>
  <w:style w:type="character" w:styleId="28">
    <w:name w:val="Hyperlink"/>
    <w:qFormat/>
    <w:uiPriority w:val="99"/>
    <w:rPr>
      <w:color w:val="0000FF"/>
      <w:u w:val="single"/>
    </w:rPr>
  </w:style>
  <w:style w:type="character" w:styleId="29">
    <w:name w:val="annotation reference"/>
    <w:basedOn w:val="25"/>
    <w:unhideWhenUsed/>
    <w:qFormat/>
    <w:uiPriority w:val="0"/>
    <w:rPr>
      <w:sz w:val="16"/>
      <w:szCs w:val="16"/>
    </w:rPr>
  </w:style>
  <w:style w:type="character" w:customStyle="1" w:styleId="30">
    <w:name w:val="批注框文本 Char"/>
    <w:basedOn w:val="25"/>
    <w:link w:val="15"/>
    <w:semiHidden/>
    <w:qFormat/>
    <w:uiPriority w:val="99"/>
    <w:rPr>
      <w:kern w:val="2"/>
      <w:sz w:val="18"/>
      <w:szCs w:val="18"/>
    </w:rPr>
  </w:style>
  <w:style w:type="paragraph" w:customStyle="1" w:styleId="31">
    <w:name w:val="YJ-Proposal"/>
    <w:basedOn w:val="1"/>
    <w:qFormat/>
    <w:uiPriority w:val="0"/>
    <w:pPr>
      <w:numPr>
        <w:ilvl w:val="0"/>
        <w:numId w:val="3"/>
      </w:numPr>
    </w:pPr>
    <w:rPr>
      <w:rFonts w:eastAsiaTheme="minorEastAsia"/>
      <w:b/>
      <w:bCs/>
      <w:i/>
      <w:iCs/>
      <w:sz w:val="20"/>
      <w:lang w:val="en-GB" w:eastAsia="en-US"/>
    </w:rPr>
  </w:style>
  <w:style w:type="paragraph" w:customStyle="1" w:styleId="32">
    <w:name w:val="YJ-Observation"/>
    <w:basedOn w:val="31"/>
    <w:qFormat/>
    <w:uiPriority w:val="0"/>
    <w:pPr>
      <w:numPr>
        <w:ilvl w:val="0"/>
        <w:numId w:val="4"/>
      </w:numPr>
      <w:tabs>
        <w:tab w:val="left" w:pos="420"/>
      </w:tabs>
    </w:pPr>
  </w:style>
  <w:style w:type="paragraph" w:customStyle="1" w:styleId="33">
    <w:name w:val="References"/>
    <w:basedOn w:val="1"/>
    <w:qFormat/>
    <w:uiPriority w:val="0"/>
    <w:pPr>
      <w:numPr>
        <w:ilvl w:val="0"/>
        <w:numId w:val="5"/>
      </w:numPr>
      <w:spacing w:after="60"/>
    </w:pPr>
    <w:rPr>
      <w:szCs w:val="16"/>
    </w:rPr>
  </w:style>
  <w:style w:type="paragraph" w:styleId="34">
    <w:name w:val="List Paragraph"/>
    <w:basedOn w:val="1"/>
    <w:link w:val="68"/>
    <w:qFormat/>
    <w:uiPriority w:val="34"/>
    <w:pPr>
      <w:spacing w:beforeLines="0" w:line="240" w:lineRule="auto"/>
      <w:ind w:left="720"/>
      <w:contextualSpacing/>
    </w:pPr>
    <w:rPr>
      <w:rFonts w:eastAsia="Times New Roman"/>
      <w:sz w:val="24"/>
      <w:szCs w:val="24"/>
    </w:rPr>
  </w:style>
  <w:style w:type="paragraph" w:customStyle="1" w:styleId="35">
    <w:name w:val="sub-proposal"/>
    <w:basedOn w:val="31"/>
    <w:next w:val="1"/>
    <w:qFormat/>
    <w:uiPriority w:val="0"/>
    <w:pPr>
      <w:numPr>
        <w:numId w:val="6"/>
      </w:numPr>
      <w:tabs>
        <w:tab w:val="left" w:pos="807"/>
      </w:tabs>
    </w:pPr>
  </w:style>
  <w:style w:type="paragraph" w:customStyle="1" w:styleId="36">
    <w:name w:val="样式1"/>
    <w:basedOn w:val="1"/>
    <w:qFormat/>
    <w:uiPriority w:val="0"/>
  </w:style>
  <w:style w:type="paragraph" w:customStyle="1" w:styleId="37">
    <w:name w:val="LGTdoc_본문"/>
    <w:basedOn w:val="1"/>
    <w:qFormat/>
    <w:uiPriority w:val="0"/>
    <w:pPr>
      <w:widowControl w:val="0"/>
      <w:autoSpaceDE w:val="0"/>
      <w:autoSpaceDN w:val="0"/>
      <w:adjustRightInd w:val="0"/>
      <w:snapToGrid w:val="0"/>
      <w:spacing w:line="264" w:lineRule="auto"/>
    </w:pPr>
    <w:rPr>
      <w:sz w:val="22"/>
      <w:lang w:eastAsia="ko-KR"/>
    </w:rPr>
  </w:style>
  <w:style w:type="character" w:customStyle="1" w:styleId="38">
    <w:name w:val="页眉 Char"/>
    <w:basedOn w:val="25"/>
    <w:link w:val="17"/>
    <w:semiHidden/>
    <w:qFormat/>
    <w:uiPriority w:val="0"/>
    <w:rPr>
      <w:rFonts w:eastAsia="宋体"/>
      <w:kern w:val="2"/>
      <w:sz w:val="21"/>
    </w:rPr>
  </w:style>
  <w:style w:type="character" w:customStyle="1" w:styleId="39">
    <w:name w:val="页脚 Char"/>
    <w:basedOn w:val="25"/>
    <w:link w:val="16"/>
    <w:qFormat/>
    <w:uiPriority w:val="99"/>
    <w:rPr>
      <w:rFonts w:eastAsia="宋体"/>
      <w:kern w:val="2"/>
      <w:sz w:val="18"/>
      <w:szCs w:val="18"/>
    </w:rPr>
  </w:style>
  <w:style w:type="paragraph" w:customStyle="1" w:styleId="40">
    <w:name w:val="YJ--正文"/>
    <w:basedOn w:val="1"/>
    <w:qFormat/>
    <w:uiPriority w:val="0"/>
    <w:pPr>
      <w:spacing w:before="50" w:after="50" w:line="240" w:lineRule="auto"/>
    </w:pPr>
    <w:rPr>
      <w:rFonts w:eastAsia="Times New Roman" w:cs="宋体"/>
      <w:sz w:val="20"/>
    </w:rPr>
  </w:style>
  <w:style w:type="character" w:customStyle="1" w:styleId="41">
    <w:name w:val="文档结构图 Char"/>
    <w:basedOn w:val="25"/>
    <w:link w:val="10"/>
    <w:semiHidden/>
    <w:qFormat/>
    <w:uiPriority w:val="99"/>
    <w:rPr>
      <w:rFonts w:ascii="宋体"/>
      <w:kern w:val="2"/>
      <w:sz w:val="18"/>
      <w:szCs w:val="18"/>
    </w:rPr>
  </w:style>
  <w:style w:type="character" w:customStyle="1" w:styleId="42">
    <w:name w:val="批注文字 Char"/>
    <w:basedOn w:val="25"/>
    <w:link w:val="11"/>
    <w:qFormat/>
    <w:uiPriority w:val="0"/>
    <w:rPr>
      <w:rFonts w:eastAsia="宋体"/>
      <w:kern w:val="2"/>
      <w:sz w:val="21"/>
    </w:rPr>
  </w:style>
  <w:style w:type="character" w:customStyle="1" w:styleId="43">
    <w:name w:val="批注主题 Char"/>
    <w:basedOn w:val="42"/>
    <w:link w:val="22"/>
    <w:qFormat/>
    <w:uiPriority w:val="0"/>
    <w:rPr>
      <w:rFonts w:eastAsia="宋体"/>
      <w:kern w:val="2"/>
      <w:sz w:val="21"/>
    </w:rPr>
  </w:style>
  <w:style w:type="paragraph" w:customStyle="1" w:styleId="44">
    <w:name w:val="subullet"/>
    <w:basedOn w:val="1"/>
    <w:qFormat/>
    <w:uiPriority w:val="0"/>
    <w:pPr>
      <w:numPr>
        <w:ilvl w:val="1"/>
        <w:numId w:val="3"/>
      </w:numPr>
      <w:spacing w:before="50" w:after="50"/>
    </w:pPr>
    <w:rPr>
      <w:rFonts w:hint="eastAsia" w:eastAsiaTheme="minorEastAsia"/>
      <w:b/>
      <w:bCs/>
      <w:i/>
      <w:iCs/>
      <w:sz w:val="20"/>
    </w:rPr>
  </w:style>
  <w:style w:type="paragraph" w:customStyle="1" w:styleId="45">
    <w:name w:val="subsub"/>
    <w:basedOn w:val="1"/>
    <w:qFormat/>
    <w:uiPriority w:val="0"/>
    <w:pPr>
      <w:numPr>
        <w:ilvl w:val="2"/>
        <w:numId w:val="3"/>
      </w:numPr>
      <w:tabs>
        <w:tab w:val="left" w:pos="0"/>
      </w:tabs>
      <w:spacing w:before="50" w:after="50"/>
    </w:pPr>
    <w:rPr>
      <w:rFonts w:hint="eastAsia" w:eastAsiaTheme="minorEastAsia"/>
      <w:b/>
      <w:bCs/>
      <w:i/>
      <w:iCs/>
      <w:sz w:val="20"/>
    </w:rPr>
  </w:style>
  <w:style w:type="paragraph" w:customStyle="1" w:styleId="46">
    <w:name w:val="3rd level proposal"/>
    <w:basedOn w:val="35"/>
    <w:next w:val="1"/>
    <w:qFormat/>
    <w:uiPriority w:val="0"/>
    <w:pPr>
      <w:numPr>
        <w:ilvl w:val="0"/>
        <w:numId w:val="7"/>
      </w:numPr>
      <w:ind w:left="1282" w:leftChars="400" w:hanging="442" w:hangingChars="200"/>
      <w:jc w:val="left"/>
    </w:pPr>
  </w:style>
  <w:style w:type="paragraph" w:customStyle="1" w:styleId="47">
    <w:name w:val="B1"/>
    <w:basedOn w:val="13"/>
    <w:link w:val="61"/>
    <w:qFormat/>
    <w:uiPriority w:val="0"/>
  </w:style>
  <w:style w:type="paragraph" w:customStyle="1" w:styleId="48">
    <w:name w:val="B3"/>
    <w:basedOn w:val="1"/>
    <w:qFormat/>
    <w:uiPriority w:val="0"/>
    <w:pPr>
      <w:ind w:left="1135" w:hanging="284"/>
    </w:pPr>
  </w:style>
  <w:style w:type="character" w:styleId="49">
    <w:name w:val="Placeholder Text"/>
    <w:basedOn w:val="25"/>
    <w:semiHidden/>
    <w:qFormat/>
    <w:uiPriority w:val="99"/>
    <w:rPr>
      <w:color w:val="808080"/>
    </w:rPr>
  </w:style>
  <w:style w:type="paragraph" w:customStyle="1" w:styleId="50">
    <w:name w:val="EQ"/>
    <w:basedOn w:val="1"/>
    <w:next w:val="1"/>
    <w:qFormat/>
    <w:uiPriority w:val="0"/>
    <w:pPr>
      <w:keepLines/>
      <w:tabs>
        <w:tab w:val="center" w:pos="4536"/>
        <w:tab w:val="right" w:pos="9072"/>
      </w:tabs>
    </w:pPr>
  </w:style>
  <w:style w:type="paragraph" w:customStyle="1" w:styleId="51">
    <w:name w:val="B2"/>
    <w:basedOn w:val="12"/>
    <w:qFormat/>
    <w:uiPriority w:val="0"/>
    <w:pPr>
      <w:ind w:left="851" w:hanging="284"/>
    </w:pPr>
    <w:rPr>
      <w:lang w:val="zh-CN"/>
    </w:rPr>
  </w:style>
  <w:style w:type="paragraph" w:customStyle="1" w:styleId="52">
    <w:name w:val="B4"/>
    <w:basedOn w:val="1"/>
    <w:qFormat/>
    <w:uiPriority w:val="0"/>
    <w:pPr>
      <w:ind w:left="1418" w:hanging="284"/>
    </w:pPr>
  </w:style>
  <w:style w:type="character" w:customStyle="1" w:styleId="53">
    <w:name w:val="标题 4 Char"/>
    <w:basedOn w:val="25"/>
    <w:link w:val="5"/>
    <w:qFormat/>
    <w:uiPriority w:val="0"/>
    <w:rPr>
      <w:rFonts w:ascii="Arial" w:hAnsi="Arial" w:eastAsia="MS Mincho"/>
      <w:kern w:val="2"/>
      <w:sz w:val="24"/>
    </w:rPr>
  </w:style>
  <w:style w:type="character" w:customStyle="1" w:styleId="54">
    <w:name w:val="标题 3 Char"/>
    <w:basedOn w:val="25"/>
    <w:link w:val="4"/>
    <w:qFormat/>
    <w:uiPriority w:val="0"/>
    <w:rPr>
      <w:rFonts w:ascii="Arial" w:hAnsi="Arial" w:eastAsia="MS Mincho"/>
      <w:kern w:val="2"/>
      <w:sz w:val="24"/>
    </w:rPr>
  </w:style>
  <w:style w:type="character" w:customStyle="1" w:styleId="55">
    <w:name w:val="标题 2 Char"/>
    <w:basedOn w:val="25"/>
    <w:link w:val="3"/>
    <w:qFormat/>
    <w:uiPriority w:val="0"/>
    <w:rPr>
      <w:rFonts w:ascii="Times New Roman" w:hAnsi="Times New Roman" w:eastAsia="MS Mincho"/>
      <w:b/>
      <w:kern w:val="2"/>
      <w:sz w:val="28"/>
    </w:r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TAC"/>
    <w:basedOn w:val="58"/>
    <w:link w:val="66"/>
    <w:qFormat/>
    <w:uiPriority w:val="0"/>
    <w:pPr>
      <w:jc w:val="center"/>
    </w:pPr>
  </w:style>
  <w:style w:type="paragraph" w:customStyle="1" w:styleId="58">
    <w:name w:val="TAL"/>
    <w:basedOn w:val="1"/>
    <w:link w:val="67"/>
    <w:qFormat/>
    <w:uiPriority w:val="0"/>
    <w:pPr>
      <w:keepNext/>
      <w:keepLines/>
    </w:pPr>
    <w:rPr>
      <w:rFonts w:ascii="Arial" w:hAnsi="Arial"/>
      <w:sz w:val="18"/>
    </w:rPr>
  </w:style>
  <w:style w:type="paragraph" w:customStyle="1" w:styleId="59">
    <w:name w:val="B5"/>
    <w:basedOn w:val="1"/>
    <w:qFormat/>
    <w:uiPriority w:val="0"/>
    <w:pPr>
      <w:ind w:left="1702" w:hanging="284"/>
    </w:pPr>
  </w:style>
  <w:style w:type="character" w:customStyle="1" w:styleId="60">
    <w:name w:val="首标题"/>
    <w:qFormat/>
    <w:uiPriority w:val="0"/>
    <w:rPr>
      <w:rFonts w:ascii="Arial" w:hAnsi="Arial" w:eastAsia="宋体"/>
      <w:sz w:val="24"/>
    </w:rPr>
  </w:style>
  <w:style w:type="character" w:customStyle="1" w:styleId="61">
    <w:name w:val="B1 Char1"/>
    <w:link w:val="47"/>
    <w:qFormat/>
    <w:uiPriority w:val="0"/>
    <w:rPr>
      <w:kern w:val="2"/>
      <w:sz w:val="21"/>
    </w:rPr>
  </w:style>
  <w:style w:type="character" w:customStyle="1" w:styleId="62">
    <w:name w:val="NO Char"/>
    <w:link w:val="63"/>
    <w:qFormat/>
    <w:uiPriority w:val="0"/>
    <w:rPr>
      <w:lang w:val="en-GB" w:eastAsia="en-US"/>
    </w:rPr>
  </w:style>
  <w:style w:type="paragraph" w:customStyle="1" w:styleId="63">
    <w:name w:val="NO"/>
    <w:basedOn w:val="1"/>
    <w:link w:val="62"/>
    <w:qFormat/>
    <w:uiPriority w:val="0"/>
    <w:pPr>
      <w:keepLines/>
      <w:spacing w:beforeLines="0" w:afterLines="0" w:line="240" w:lineRule="auto"/>
      <w:ind w:left="1135" w:hanging="851"/>
      <w:jc w:val="left"/>
    </w:pPr>
    <w:rPr>
      <w:kern w:val="0"/>
      <w:sz w:val="20"/>
      <w:lang w:val="en-GB" w:eastAsia="en-US"/>
    </w:rPr>
  </w:style>
  <w:style w:type="character" w:customStyle="1" w:styleId="64">
    <w:name w:val="TAH Car"/>
    <w:link w:val="65"/>
    <w:qFormat/>
    <w:locked/>
    <w:uiPriority w:val="0"/>
    <w:rPr>
      <w:rFonts w:ascii="Arial" w:hAnsi="Arial"/>
      <w:b/>
      <w:sz w:val="18"/>
      <w:lang w:val="en-GB" w:eastAsia="en-US"/>
    </w:rPr>
  </w:style>
  <w:style w:type="paragraph" w:customStyle="1" w:styleId="65">
    <w:name w:val="TAH"/>
    <w:basedOn w:val="57"/>
    <w:link w:val="64"/>
    <w:qFormat/>
    <w:uiPriority w:val="0"/>
    <w:pPr>
      <w:spacing w:beforeLines="0" w:afterLines="0" w:line="240" w:lineRule="auto"/>
    </w:pPr>
    <w:rPr>
      <w:b/>
      <w:kern w:val="0"/>
      <w:lang w:val="en-GB" w:eastAsia="en-US"/>
    </w:rPr>
  </w:style>
  <w:style w:type="character" w:customStyle="1" w:styleId="66">
    <w:name w:val="TAC Char"/>
    <w:link w:val="57"/>
    <w:qFormat/>
    <w:locked/>
    <w:uiPriority w:val="0"/>
    <w:rPr>
      <w:rFonts w:ascii="Arial" w:hAnsi="Arial"/>
      <w:kern w:val="2"/>
      <w:sz w:val="18"/>
    </w:rPr>
  </w:style>
  <w:style w:type="character" w:customStyle="1" w:styleId="67">
    <w:name w:val="TAL Car"/>
    <w:link w:val="58"/>
    <w:qFormat/>
    <w:uiPriority w:val="0"/>
    <w:rPr>
      <w:rFonts w:ascii="Arial" w:hAnsi="Arial"/>
      <w:kern w:val="2"/>
      <w:sz w:val="18"/>
    </w:rPr>
  </w:style>
  <w:style w:type="character" w:customStyle="1" w:styleId="68">
    <w:name w:val="列出段落 Char"/>
    <w:link w:val="34"/>
    <w:qFormat/>
    <w:locked/>
    <w:uiPriority w:val="34"/>
    <w:rPr>
      <w:rFonts w:eastAsia="Times New Roman"/>
      <w:kern w:val="2"/>
      <w:sz w:val="24"/>
      <w:szCs w:val="24"/>
    </w:rPr>
  </w:style>
  <w:style w:type="paragraph" w:customStyle="1" w:styleId="69">
    <w:name w:val="Revision"/>
    <w:hidden/>
    <w:semiHidden/>
    <w:qFormat/>
    <w:uiPriority w:val="99"/>
    <w:rPr>
      <w:rFonts w:ascii="Times New Roman" w:hAnsi="Times New Roman" w:eastAsia="宋体" w:cs="Times New Roman"/>
      <w:kern w:val="2"/>
      <w:sz w:val="21"/>
      <w:lang w:val="en-US" w:eastAsia="zh-CN" w:bidi="ar-SA"/>
    </w:rPr>
  </w:style>
  <w:style w:type="paragraph" w:customStyle="1" w:styleId="70">
    <w:name w:val="TAN"/>
    <w:basedOn w:val="58"/>
    <w:qFormat/>
    <w:uiPriority w:val="0"/>
    <w:pPr>
      <w:ind w:left="851" w:hanging="851"/>
    </w:pPr>
  </w:style>
  <w:style w:type="character" w:customStyle="1" w:styleId="71">
    <w:name w:val="font4"/>
    <w:basedOn w:val="25"/>
    <w:qFormat/>
    <w:uiPriority w:val="0"/>
  </w:style>
  <w:style w:type="paragraph" w:customStyle="1" w:styleId="72">
    <w:name w:val="样式 页眉"/>
    <w:basedOn w:val="17"/>
    <w:qFormat/>
    <w:uiPriority w:val="0"/>
    <w:rPr>
      <w:rFonts w:eastAsia="Arial"/>
      <w:bCs/>
      <w:sz w:val="22"/>
    </w:rPr>
  </w:style>
  <w:style w:type="paragraph" w:customStyle="1" w:styleId="73">
    <w:name w:val="CR Cover Page"/>
    <w:qFormat/>
    <w:uiPriority w:val="0"/>
    <w:pPr>
      <w:spacing w:after="120"/>
    </w:pPr>
    <w:rPr>
      <w:rFonts w:ascii="Arial" w:hAnsi="Arial" w:eastAsia="Times New Roman" w:cs="Times New Roman"/>
      <w:lang w:val="en-GB" w:eastAsia="en-US" w:bidi="ar-SA"/>
    </w:rPr>
  </w:style>
  <w:style w:type="character" w:customStyle="1" w:styleId="74">
    <w:name w:val="font21"/>
    <w:basedOn w:val="25"/>
    <w:qFormat/>
    <w:uiPriority w:val="0"/>
    <w:rPr>
      <w:rFonts w:hint="default" w:ascii="Times New Roman" w:hAnsi="Times New Roman" w:cs="Times New Roman"/>
      <w:color w:val="000000"/>
      <w:sz w:val="18"/>
      <w:szCs w:val="18"/>
      <w:u w:val="none"/>
    </w:rPr>
  </w:style>
  <w:style w:type="character" w:customStyle="1" w:styleId="75">
    <w:name w:val="font01"/>
    <w:basedOn w:val="25"/>
    <w:qFormat/>
    <w:uiPriority w:val="0"/>
    <w:rPr>
      <w:rFonts w:hint="default" w:ascii="Arial" w:hAnsi="Arial" w:cs="Arial"/>
      <w:color w:val="000000"/>
      <w:sz w:val="18"/>
      <w:szCs w:val="18"/>
      <w:u w:val="none"/>
    </w:rPr>
  </w:style>
  <w:style w:type="character" w:customStyle="1" w:styleId="76">
    <w:name w:val="font31"/>
    <w:basedOn w:val="25"/>
    <w:qFormat/>
    <w:uiPriority w:val="0"/>
    <w:rPr>
      <w:rFonts w:ascii="TimesNewRomanPS-ItalicMT" w:hAnsi="TimesNewRomanPS-ItalicMT" w:eastAsia="TimesNewRomanPS-ItalicMT" w:cs="TimesNewRomanPS-ItalicMT"/>
      <w:i/>
      <w:iCs/>
      <w:color w:val="000000"/>
      <w:sz w:val="22"/>
      <w:szCs w:val="22"/>
      <w:u w:val="none"/>
    </w:rPr>
  </w:style>
  <w:style w:type="character" w:customStyle="1" w:styleId="77">
    <w:name w:val="font41"/>
    <w:basedOn w:val="25"/>
    <w:qFormat/>
    <w:uiPriority w:val="0"/>
    <w:rPr>
      <w:rFonts w:hint="default" w:ascii="TimesNewRomanPS-ItalicMT" w:hAnsi="TimesNewRomanPS-ItalicMT" w:eastAsia="TimesNewRomanPS-ItalicMT" w:cs="TimesNewRomanPS-ItalicMT"/>
      <w:i/>
      <w:iCs/>
      <w:color w:val="000000"/>
      <w:sz w:val="18"/>
      <w:szCs w:val="18"/>
      <w:u w:val="none"/>
    </w:rPr>
  </w:style>
  <w:style w:type="character" w:customStyle="1" w:styleId="78">
    <w:name w:val="font11"/>
    <w:basedOn w:val="25"/>
    <w:qFormat/>
    <w:uiPriority w:val="0"/>
    <w:rPr>
      <w:rFonts w:ascii="Symbol" w:hAnsi="Symbol" w:cs="Symbol"/>
      <w:color w:val="000000"/>
      <w:sz w:val="24"/>
      <w:szCs w:val="24"/>
      <w:u w:val="none"/>
    </w:rPr>
  </w:style>
  <w:style w:type="paragraph" w:customStyle="1" w:styleId="79">
    <w:name w:val="Text"/>
    <w:basedOn w:val="1"/>
    <w:qFormat/>
    <w:uiPriority w:val="0"/>
    <w:pPr>
      <w:keepLines/>
      <w:spacing w:after="240" w:line="240" w:lineRule="auto"/>
      <w:jc w:val="both"/>
    </w:pPr>
    <w:rPr>
      <w:rFonts w:ascii="Arial" w:hAnsi="Arial" w:eastAsia="Times New Roman"/>
      <w:sz w:val="24"/>
      <w:lang w:eastAsia="fr-FR"/>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numbering" Target="numbering.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emf"/><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079D9-7FCF-4DA1-8567-DD25B2194825}">
  <ds:schemaRefs/>
</ds:datastoreItem>
</file>

<file path=docProps/app.xml><?xml version="1.0" encoding="utf-8"?>
<Properties xmlns="http://schemas.openxmlformats.org/officeDocument/2006/extended-properties" xmlns:vt="http://schemas.openxmlformats.org/officeDocument/2006/docPropsVTypes">
  <Template>Normal.dotm</Template>
  <Company>ZTE Corporation</Company>
  <Pages>4</Pages>
  <Words>1113</Words>
  <Characters>6348</Characters>
  <Lines>52</Lines>
  <Paragraphs>14</Paragraphs>
  <TotalTime>0</TotalTime>
  <ScaleCrop>false</ScaleCrop>
  <LinksUpToDate>false</LinksUpToDate>
  <CharactersWithSpaces>7447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2021-09-06T20:42:00Z</dcterms:created>
  <dc:creator>ZTE</dc:creator>
  <cp:lastModifiedBy>ZTE, Li Lu</cp:lastModifiedBy>
  <dcterms:modified xsi:type="dcterms:W3CDTF">2025-02-07T07:28:45Z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0C580A1331B34D89A58F550CB685A983</vt:lpwstr>
  </property>
</Properties>
</file>